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статьи 34 и 46 Федерального закона "О Центральном банке Российской Федерации (Банке России)"</w:t>
      </w:r>
    </w:p>
    <w:p>
      <w:r>
        <w:rPr>
          <w:b/>
        </w:rPr>
        <w:t>Статья None. Федеральный закон   от 07.02.2011 № 10-ФЗ</w:t>
      </w:r>
    </w:p>
    <w:p>
      <w:r>
        <w:t>О внесении изменений в статьи 34 и 46 Федерального закона "О Центральном банке Российской Федерации (Банке России)" РОССИЙСКАЯ ФЕДЕРАЦИЯ ФЕДЕРАЛЬНЫЙ ЗАКОН О внесении изменений в статьи 34 и 46 Федерального закона "О Центральном банке Российской Федерации (Банке России)" Принят Государственной Думой 26 января 2011 года Одобрен Советом Федерации 2 февраля 2011 года Внести в Федеральный закон от 10 июля 2002 года № 86-ФЗ "О Центральном банке Российской Федерации (Банке России)" (Собрание законодательства Российской Федерации, 2002, № 28, ст. 2790; 2008, № 42, ст. 4696; № 44, ст. 4982; 2009, № 1, ст. 25; 2010, № 45, ст. 5756) следующие изменения</w:t>
      </w:r>
    </w:p>
    <w:p>
      <w:r>
        <w:t>абзац второй статьи 34 изложить в следующей редакции: "прогнозирование и организация производства, в том числе размещение заказа на изготовление банкнот и монеты Банка России у организации, изготавливающей банкноты и монету Банка России, перевозка и хранение банкнот и монеты Банка России, создание их резервных фондов;"</w:t>
      </w:r>
    </w:p>
    <w:p>
      <w:r>
        <w:t>статью 46 дополнить частью четвертой следующего содержания: "Банк России имеет право передавать российским и иностранным кредитным организациям, а также организации, изготавливающей банкноты и монету Банка России, банкноты в сувенирной упаковке и монету Банка России по ценам, отличающимся от нарицательной стоимости, которые определяет Банк России.". Президент Российской Федерации Д.Медведев Москва, Кремль 7 февраля 2011 года № 10-ФЗ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