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Федерального закона "О науке и государственной научно-технической политике" и статью 17-1 Федерального закона "О защите конкуренции"</w:t>
      </w:r>
    </w:p>
    <w:p>
      <w:r>
        <w:rPr>
          <w:b/>
        </w:rPr>
        <w:t>Статья 1</w:t>
      </w:r>
    </w:p>
    <w:p>
      <w:r>
        <w:t>Абзац третий пункта 3 статьи 5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2004, № 35, ст. 3607; 2005, № 27, ст. 2715; 2006, № 50, ст. 5280; 2007, № 49, ст. 6069; 2008, № 30, ст. 3616; 2009, № 7, ст. 786; № 31, ст. 3923; № 52, ст. 6434; 2010, № 19, ст. 2291) дополнить словами ", если иное не установлено Правительством Российской Федерации".</w:t>
      </w:r>
    </w:p>
    <w:p>
      <w:r>
        <w:rPr>
          <w:b/>
        </w:rPr>
        <w:t>Статья 2</w:t>
      </w:r>
    </w:p>
    <w:p>
      <w:r>
        <w:t>Статью 171 Федерального закона от 26 июля 2006 года № 135-ФЗ "О защите конкуренции" (Собрание законодательства Российской Федерации, 2006, № 31, ст. 3434; 2008, № 27, ст. 3126; № 45, ст. 5141; 2009, № 29, ст. 3610; 2010, № 15, ст. 1736; № 19, ст. 2291) дополнить частью 31 следующего содержания: "31. Заключение договоров аренды в отношении государственного или муниципального имущества государственных образовательных учреждений высшего профессионального образования (в том числе созданных государственными академиями наук) или муниципальных образовательных учреждений высшего профессионального образования, государственных научных учреждений (в том числе созданных государственными академиями наук) осуществляется без проведения конкурсов или аукционов в порядке и на условиях, которые определяются Правительством Российской Федерации, при одновременном соблюдении следующих требований</w:t>
      </w:r>
    </w:p>
    <w:p>
      <w:r>
        <w:t>арендаторами являются хозяйственные общества, созданные учреждениями, указанными в абзаце первом настоящей части</w:t>
      </w:r>
    </w:p>
    <w:p>
      <w:r>
        <w:t>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
        <w:t>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