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особенностях использования транспортных средств международной перевозки, осуществляющих перевозку пассажиров, а также прицепов, полуприцепов, контейнеров и железнодорожного подвижного состава, осуществляющих перевозку грузов и (или) багажа для внутренней перевозки по таможенной территории Таможенного союза</w:t>
      </w:r>
    </w:p>
    <w:p>
      <w:r>
        <w:rPr>
          <w:b/>
        </w:rPr>
        <w:t>Статья None. Федеральный закон   от 05.04.2011 № 58-ФЗ</w:t>
      </w:r>
    </w:p>
    <w:p>
      <w:r>
        <w:t>О ратификации Соглашения об особенностях использования транспортных средств международной перевозки, осуществляющих перевозку пассажиров, а также прицепов, полуприцепов, контейнеров и железнодорожного подвижного состава, осуществляющих перевозку грузов и (или) багажа для внутренней перевозки по таможенной территории Таможенного союза РОССИЙСКАЯ ФЕДЕРАЦИЯ ФЕДЕРАЛЬНЫЙ ЗАКОН О ратификации Соглашения об особенностях использования транспортных средств международной перевозки, осуществляющих перевозку пассажиров, а также прицепов, полуприцепов, контейнеров и железнодорожного подвижного состава, осуществляющих перевозку грузов и (или) багажа для внутренней перевозки по таможенной территории Таможенного союза Принят Государственной Думой 25 марта 2011 года Одобрен Советом Федерации 30 марта 2011 года Ратифицировать Соглашение об особенностях использования транспортных средств международной перевозки, осуществляющих перевозку пассажиров, а также прицепов, полуприцепов, контейнеров и железнодорожного подвижного состава, осуществляющих перевозку грузов и (или) багажа для внутренней перевозки по таможенной территории Таможенного союза, подписанное в городе Санкт-Петербурге 18 июня 2010 года. Президент Российской Федерации Д.Медведев Москва, Кремль 5 апреля 2011 года № 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