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Ломоносовского районного суда города федерального значения Санкт-Петербурга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 и 32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Ломоносовский районный суд города федерального значения Санкт-Петербурга, передав относящиеся к его ведению вопросы осуществления правосудия в юрисдикцию Петродворцового районного суда города Санкт-Петербурга</w:t>
      </w:r>
    </w:p>
    <w:p>
      <w:r>
        <w:t>установить, что юрисдикция Петродворцового районного суда города Санкт-Петербурга распространяется на территорию Петродворцового района Санкт-Петербурга в границах, существующих на день вступления в силу настоящего Федерального закона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и 2 статьи 1 настоящего Федерального закона</w:t>
      </w:r>
    </w:p>
    <w:p>
      <w:r>
        <w:rPr>
          <w:b/>
        </w:rPr>
        <w:t xml:space="preserve">2. </w:t>
      </w:r>
      <w:r>
        <w:t>Пункты 1 и 2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