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Курумканского районного суда Республики Бурятия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Курумканский районный суд Республики Бурятия, передав относящиеся к его ведению вопросы осуществления правосудия в юрисдикцию Баргузинского районного суда Республики Бурятия</w:t>
      </w:r>
    </w:p>
    <w:p>
      <w:r>
        <w:t>установить, что юрисдикция Баргузинского районного суда Республики Бурятия распространяется на территории Баргузинского и Курумканского районов Республики Бурятия в границах, существующих на день вступления в силу настоящего Федерального закона</w:t>
      </w:r>
    </w:p>
    <w:p>
      <w:r>
        <w:t>образовать в составе Баргузинского районного суда Республики Бурятия постоянное судебное присутствие в селе Курумкан Курумканского района Республики Бурятия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1-3 статьи 1 настоящего Федерального закона</w:t>
      </w:r>
    </w:p>
    <w:p>
      <w:r>
        <w:rPr>
          <w:b/>
        </w:rPr>
        <w:t xml:space="preserve">2. </w:t>
      </w:r>
      <w:r>
        <w:t>Пункты 1-3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