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57 Федерального закона "О Центральном банке Российской Федерации (Банке России)" и статью 2 Федерального закона "Об официальном статистическом учете и системе государственной статистики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2006, № 25, ст. 2648; 2010, № 45, ст. 5756; 2011, № 27, ст. 3873) следующие изменения</w:t>
      </w:r>
    </w:p>
    <w:p>
      <w:r>
        <w:t>статью 4 дополнить пунктом 161 следующего содержания: "161) принимает участие в разработке методологии составления финансового счета Российской Федерации в системе национальных счетов и организует составление финансового счета Российской Федерации;"</w:t>
      </w:r>
    </w:p>
    <w:p>
      <w:r>
        <w:t>часть четвертую статьи 57 после слов "платежного баланса Российской Федерации," дополнить словами "финансового счета Российской Федерации в системе национальных счетов, а также"</w:t>
      </w:r>
    </w:p>
    <w:p>
      <w:r>
        <w:rPr>
          <w:b/>
        </w:rPr>
        <w:t>Статья 2</w:t>
      </w:r>
    </w:p>
    <w:p>
      <w:r>
        <w:t>Пункт 4 статьи 2 Федерального закона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6043) после слов "иные федеральные государственные органы," дополнить словами "Центральный банк Российской Федерации (Банк России),".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