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20.6 и 20.7 Кодекса Российской Федерации об административных правонарушениях</w:t>
      </w:r>
    </w:p>
    <w:p>
      <w:r>
        <w:rPr>
          <w:b/>
        </w:rPr>
        <w:t>Статья 20.7. Невыполнение требований и мероприятий в области гражданской обороны</w:t>
      </w:r>
    </w:p>
    <w:p>
      <w:r>
        <w:rPr>
          <w:b/>
        </w:rPr>
        <w:t xml:space="preserve">1. </w:t>
      </w:r>
      <w:r>
        <w:t>Невыполнение установленных федеральными законами и иными нормативными правовыми актами Российской Федерации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специальной техники и имущества гражданской обороны - 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</w:t>
      </w:r>
    </w:p>
    <w:p>
      <w:r>
        <w:rPr>
          <w:b/>
        </w:rPr>
        <w:t xml:space="preserve">2. </w:t>
      </w:r>
      <w:r>
        <w:t>Невыполнение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действий или вследствие этих действий, - 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рублей.". Президент Российской Федерации Д.Медведев Москва, Кремль 6 ноября 2011 года № 295-ФЗ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