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17 и 22 Федерального закона "Об обязательном социальном страховании от несчастных случаев на производстве и профессиональных заболеваний"</w:t>
      </w:r>
    </w:p>
    <w:p>
      <w:r>
        <w:rPr>
          <w:b/>
        </w:rPr>
        <w:t>Статья 1</w:t>
      </w:r>
    </w:p>
    <w:p>
      <w:r>
        <w:t>Внести в Федеральный закон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2003, № 17, ст. 1554; № 52, ст. 5037; 2004, № 49, ст. 4851; 2008, № 30, ст. 3616; 2009, № 30, ст. 3739; № 48, ст. 5745) следующие изменения</w:t>
      </w:r>
    </w:p>
    <w:p>
      <w:r>
        <w:t>подпункт 18 пункта 2 статьи 17 дополнить словами ", в том числе сведения о результатах аттестации рабочих мест по условиям труда и проведенных обязательных предварительных и периодических медицинских осмотрах работников, подлежащих указанным осмотрам"</w:t>
      </w:r>
    </w:p>
    <w:p>
      <w:r>
        <w:t>в статье 22: а) абзац второй пункта 1 изложить в следующей редакции: "Размер указанной скидки или надбавки рассчитывается по итогам работы страхователя за три года и устанавливается страхователю с учетом состояния охраны труда (включая результаты аттестации рабочих мест по условиям труда, проведенных обязательных предварительных и периодических медицинских осмотров) и расходов на обеспечение по страхованию. Размер установленной скидки или надбавки не может превышать 40 процентов страхового тарифа, установленного страхователю. При наступлении страхового случая со смертельным исходом скидка не устанавливается."; б) пункт 3 изложить в следующей редакции: "3. Правила отнесения видов экономической деятельности к классу профессионального риска, правила установления страхователям скидок и надбавок к страховым тарифам, включая порядок представления сведений о результатах аттестации рабочих мест по условиям труда и проведенных обязательных предварительных и периодических медицинских осмотрах, правила начисления, учета и расходования средств на осуществление обязательного социального страхования от несчастных случаев на производстве и профессиональных заболеваний,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утверждаются в порядке, определяемом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