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2009, № 23, ст. 2776; 2010, № 31, ст. 4198) следующие изменения</w:t>
      </w:r>
    </w:p>
    <w:p>
      <w:r>
        <w:t>статью 15.2 признать утратившей силу</w:t>
      </w:r>
    </w:p>
    <w:p>
      <w:r>
        <w:t>в части 1 статьи 23.5 цифры "15.2," исключить</w:t>
      </w:r>
    </w:p>
    <w:p>
      <w:r>
        <w:rPr>
          <w:b/>
        </w:rPr>
        <w:t>Статья 2</w:t>
      </w:r>
    </w:p>
    <w:p>
      <w:r>
        <w:t>Пункт 293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