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56 Жилищного кодекса Российской Федерации</w:t>
      </w:r>
    </w:p>
    <w:p>
      <w:r>
        <w:rPr>
          <w:b/>
        </w:rPr>
        <w:t>Статья 1</w:t>
      </w:r>
    </w:p>
    <w:p>
      <w:r>
        <w:t>Внести в пункт 5 части 1 статьи 56 Жилищного кодекса Российской Федерации (Собрание законодательства Российской Федерации, 2005, № 1, ст. 14; 2011, № 49, ст. 7061) изменение, дополнив его словами ", за исключением граждан, имеющих трех и более детей".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положения пункта 5 части 1 статьи 56 Жилищного кодекса Российской Федерации (в редакции настоящего Федерального закона) распространяется на правоотношения, возникшие с 17 июня 2011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