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отдельных положений законодательных актов Российской Федерации</w:t>
      </w:r>
    </w:p>
    <w:p>
      <w:r>
        <w:rPr>
          <w:b/>
        </w:rPr>
        <w:t>Статья 1</w:t>
      </w:r>
    </w:p>
    <w:p>
      <w:r>
        <w:t>Признать утратившими силу</w:t>
      </w:r>
    </w:p>
    <w:p>
      <w:r>
        <w:t>пункт 5 части 2 статьи 4 Федерального закона от 30 декабря 2004 года № 210-ФЗ "Об основах регулирования тарифов организаций коммунального комплекса" (Собрание законодательства Российской Федерации, 2005, № 1, ст. 36; 2008, № 30, ст. 3616)</w:t>
      </w:r>
    </w:p>
    <w:p>
      <w:r>
        <w:t>пункт 2 статьи 112 Федерального закона от 23 июля 2008 года № 160-ФЗ "О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Федерации" (Собрание законодательства Российской Федерации, 2008, № 30, ст. 3616)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