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 следующие изменения</w:t>
      </w:r>
    </w:p>
    <w:p>
      <w:r>
        <w:t>в статье 14: а) пункт 6 части 4 изложить в следующей редакции: "6)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используемыми в качестве моторного топлива (далее - газовые смеси),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замещения;"; б) пункт 8 части 6 изложить в следующей редакции: "8) энергосбережению в транспортном комплексе и повышению его энергетической эффективности, в том числе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замещения;"</w:t>
      </w:r>
    </w:p>
    <w:p>
      <w:r>
        <w:t>в статье 19: а) пункт 1 части 2 после слова "ресурсов" дополнить словами "(в том числе в стоимостном выражении)"; б) дополнить частью 5 следующего содержания: "5. При реализации мероприятий, направленных на достижение целевых показателей, предусмотренных пунктом 6 части 4 статьи 14 настоящего Федерального закона, энергосервисный договор (контракт) может содержать условие об обязанности исполнителя по организации и установке газобаллонного оборудования на транспортные средства, в отношении которых проводятся мероприятия по энергосбережению и повышению энергетической эффективности."</w:t>
      </w:r>
    </w:p>
    <w:p>
      <w:r>
        <w:t>в статье 20: а) часть 1 после слов "природного газа" дополнить словами ", неиспользуемого в качестве моторного топлива"; б) часть 3 после слов "природного газа" дополнить словами ", неиспользуемого в качестве моторного топлива"</w:t>
      </w:r>
    </w:p>
    <w:p>
      <w:r>
        <w:t>пункт 6 части 3 статьи 23 после слов "планируемой экономии" дополнить словами "(в том числе в стоимостном выражении)"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