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Пенсионного фонда Российской Федерации за 2011 год</w:t>
      </w:r>
    </w:p>
    <w:p>
      <w:r>
        <w:rPr>
          <w:b/>
        </w:rPr>
        <w:t>Статья 1</w:t>
      </w:r>
    </w:p>
    <w:p>
      <w:r>
        <w:t>Утвердить отчет об исполнении бюджета Пенсионного фонда Российской Федерации (далее - Фонд) за 2011 год со следующими основными показателями</w:t>
      </w:r>
    </w:p>
    <w:p>
      <w:r>
        <w:t>общий объем доходов бюджета Фонда в сумме 5 255 642 585,8 тыс. рублей, из них 4 837 516 606,1 тыс. рублей в части, не связанной с формированием средств для финансирования накопительной части трудовых пенсий, в том числе за счет межбюджетных трансфертов, полученных из федерального бюджета в сумме 2 379 836 179,5 тыс. рублей и бюджетов субъектов Российской Федерации в сумме 4 364 498,8 тыс. рублей</w:t>
      </w:r>
    </w:p>
    <w:p>
      <w:r>
        <w:t>общий объем расходов бюджета Фонда в сумме 4 922 108 993,2 тыс. рублей, из них 4 681 563 939,2 тыс. рублей в части, не связанной с формированием средств для финансирования накопительной части трудовых пенсий, в том числе межбюджетные трансферты, переданные бюджетам субъектов Российской Федерации в сумме 1 007 977,6 тыс. рублей</w:t>
      </w:r>
    </w:p>
    <w:p>
      <w:r>
        <w:t>объем профицита бюджета Фонда в сумме 333 533 592,6 тыс. рублей, из них в части, не связанной с формированием средств для финансирования накопительной части трудовых пенсий, в сумме 155 952 666,9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</w:t>
      </w:r>
    </w:p>
    <w:p>
      <w:r>
        <w:t>доходы бюджета Фонда по кодам классификации доходов бюджетов за 2011 год согласно приложению 1 к настоящему Федеральному закону</w:t>
      </w:r>
    </w:p>
    <w:p>
      <w:r>
        <w:t>структура расходов бюджета Фонда за 2011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2011 год согласно приложению 3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