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2011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2011 год со следующими основными показателями</w:t>
      </w:r>
    </w:p>
    <w:p>
      <w:r>
        <w:t>общий объем доходов бюджета Фонда в сумме 348 437 079,3 тыс. рублей, в том числе за счет межбюджетных трансфертов, полученных из федерального бюджета в сумме 21 140 700,0 тыс. рублей</w:t>
      </w:r>
    </w:p>
    <w:p>
      <w:r>
        <w:t>общий объем расходов бюджета Фонда в сумме 310 428 047,6 тыс. рублей, в том числе межбюджетные трансферты, переданные бюджету Фонда социального страхования Российской Федерации в сумме 17 999 983,7 тыс. рублей</w:t>
      </w:r>
    </w:p>
    <w:p>
      <w:r>
        <w:t>объем профицита бюджета Фонда в сумме 38 009 031,7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2011 год</w:t>
      </w:r>
    </w:p>
    <w:p>
      <w:r>
        <w:t>доходы бюджета Фонда по кодам классификации доходов бюджетов за 2011 год согласно приложению 1 к настоящему Федеральному закону</w:t>
      </w:r>
    </w:p>
    <w:p>
      <w:r>
        <w:t>структура расходов бюджета Фонда за 2011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2011 год согласно приложению 3 к настоящему Федеральному закону</w:t>
      </w:r>
    </w:p>
    <w:p>
      <w:r>
        <w:t>распределение дотаций из бюджета Фонда, направленных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за 2011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