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w:t>
      </w:r>
    </w:p>
    <w:p>
      <w:r>
        <w:rPr>
          <w:b/>
        </w:rPr>
        <w:t>Статья 1</w:t>
      </w:r>
    </w:p>
    <w:p>
      <w:r>
        <w:t>Внести в статью 35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 50, ст. 5303; 2009, № 14, ст. 1577; 2010, № 17, ст. 1986; № 27, ст. 3417; 2011, № 13, ст. 1685; № 29, ст. 4291; № 30, ст. 4607) следующие изменения</w:t>
      </w:r>
    </w:p>
    <w:p>
      <w:r>
        <w:t>дополнить пунктом 19 следующего содержания: "19. Выборы депутатов представительных органов поселений (за исключением городских округов) с численностью населения менее 3000 человек, а также представительных органов поселений (включая представительные органы городских округов) с численностью менее 15 депутатов проводятся по одномандатным и (или) многомандатным избирательным округам."</w:t>
      </w:r>
    </w:p>
    <w:p>
      <w:r>
        <w:t>дополнить пунктом 20 следующего содержания: "20. В случае, если в избираемом на муниципальных выборах представительном органе муниципального образования (за исключением представительного органа муниципального района, городского округа с численностью 20 и более депутатов) часть депутатских мандатов распределяется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
        <w:rPr>
          <w:b/>
        </w:rPr>
        <w:t>Статья 2</w:t>
      </w:r>
    </w:p>
    <w:p>
      <w:r>
        <w:t>(Статья утратила силу - Федеральный закон от 20.03.2025 № 33-ФЗ)</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и статьи 23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применяются к правоотношениям, возникшим в связи с проведением выборов депутатов представительных органов муниципальных образований, назначенных по истечении девяноста дней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