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33 Федерального закона "О политических партиях"</w:t>
      </w:r>
    </w:p>
    <w:p>
      <w:r>
        <w:rPr>
          <w:b/>
        </w:rPr>
        <w:t>Статья 1</w:t>
      </w:r>
    </w:p>
    <w:p>
      <w:r>
        <w:t>Внести в подпункт "а" пункта 6 статьи 33 Федерального закона от 11 июля 2001 года № 95-ФЗ "О политических партиях" (Собрание законодательства Российской Федерации, 2001, № 29, ст. 2950; 2005, № 1, ст. 9; № 30, ст. 3104; 2008, № 30, ст. 3600) изменение, заменив слово "двадцати" словом "пятидесяти".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В 2012 году объем государственного финансирования политических партий, принимавших участие в выборах депутатов Государственной Думы Федерального Собрания Российской Федерации шестого созыва и подпадающих под действие подпункта "а" пункта 5 статьи 33 Федерального закона от 11 июля 2001 года № 95-ФЗ "О политических партиях", определяется в соответствии с подпунктом "а" пункта 6 статьи 33 указанного Федерального закона (в редакции настоящего Федерального закона)</w:t>
      </w:r>
    </w:p>
    <w:p>
      <w:r>
        <w:rPr>
          <w:b/>
        </w:rPr>
        <w:t xml:space="preserve">2. </w:t>
      </w:r>
      <w:r>
        <w:t>Средства федерального бюджета, составляющие разницу между объемом государственного финансирования политических партий по результатам выборов депутатов Государственной Думы Федерального Собрания Российской Федерации шестого созыва, предусмотренным до дня вступления в силу настоящего Федерального закона, и объемом государственного финансирования политических партий, определенным в соответствии с частью 1 настоящей статьи, выделяются не позднее 31 декабря 2012 года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