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"Об иммунопрофилактике инфекционных болезней"</w:t>
      </w:r>
    </w:p>
    <w:p>
      <w:r>
        <w:rPr>
          <w:b/>
        </w:rPr>
        <w:t>Статья 1</w:t>
      </w:r>
    </w:p>
    <w:p>
      <w:r>
        <w:t>Внести в статью 20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4736; 2000, № 33, ст. 3348) следующие изменения</w:t>
      </w:r>
    </w:p>
    <w:p>
      <w:r>
        <w:t>слово "Гражданин" заменить словами "1. Гражданин"</w:t>
      </w:r>
    </w:p>
    <w:p>
      <w:r>
        <w:t>дополнить пунктом 2 следующего содержания: "2. Размер ежемесячной денежной компенсации подлежит индексации один раз в год с 1 января финансового года исходя из установленного федеральным законом о федеральном бюджете на соответствующий финансовый год и плановый период прогнозируемого уровня инфляции."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2 статьи 20 Федерального закона от 17 сентября 1998 года № 157-ФЗ "Об иммунопрофилактике инфекционных болезней" (в редакции настоящего Федерального закона) применяются к правоотношениям, возникшим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