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основных принципах политики в области валютного регулирования и валютного контроля в государствах - участниках СНГ</w:t>
      </w:r>
    </w:p>
    <w:p>
      <w:r>
        <w:rPr>
          <w:b/>
        </w:rPr>
        <w:t>Статья None. Федеральный закон   от 30.12.2012 № 300-ФЗ</w:t>
      </w:r>
    </w:p>
    <w:p>
      <w:r>
        <w:t>О ратификации Соглашения об основных принципах политики в области валютного регулирования и валютного контроля в государствах - участниках СНГ РОССИЙСКАЯ ФЕДЕРАЦИЯ ФЕДЕРАЛЬНЫЙ ЗАКОН О ратификации Соглашения об основных принципах политики в области валютного регулирования и валютного контроля в государствах - участниках СНГ Принят Государственной Думой 21 декабря 2012 года Одобрен Советом Федерации 26 декабря 2012 года Ратифицировать Соглашение об основных принципах политики в области валютного регулирования и валютного контроля в государствах - участниках СНГ, подписанное в городе Санкт-Петербурге 18 октября 2011 года. Президент Российской Федерации В.Путин Москва, Кремль 30 декабря 2012 года № 300-ФЗ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