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статьи 131 Уголовно-процессуального кодекса Российской Федерации (Собрание законодательства Российской Федерации, 2001, № 52, ст. 4921; 2006, № 10, ст. 1070; 2010, № 11, ст. 1169) следующие изменения</w:t>
      </w:r>
    </w:p>
    <w:p>
      <w:r>
        <w:t>пункт 6 изложить в следующей редакции: "6) суммы, израсходованные на хранение, пересылку и перевозку (транспортировку) вещественных доказательств, а также на перевозку (транспортировку) трупов и их частей;"</w:t>
      </w:r>
    </w:p>
    <w:p>
      <w:r>
        <w:t>в пункте 8 слова "пяти минимальных размеров оплаты труда" заменить словами "прожиточного минимума трудоспособного населения в целом по Российской Федерации"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связанных с исполнением пункта 6 части второй статьи 131 Уголовно-процессуального кодекса Российской Федерации (в редакции настоящего Федерального закона), осуществляется за счет бюджетных ассигнований, предусмотренных федеральным бюджетом на соответствующий год, в пределах средств, выделяемых государственным органам, наделенным полномочиями по производству дознания и предварительного следствия, а также средств на содержание судов общей юрисдикции.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