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29 и 191 Арбитражного 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Арбитражный процессуальный кодекс Российской Федерации (Собрание законодательства Российской Федерации, 2002, № 30, ст. 3012; 2010, № 31, ст. 4197; 2012, № 53, ст. 7642) следующие изменения</w:t>
      </w:r>
    </w:p>
    <w:p>
      <w:r>
        <w:t>пункт 11 части 1 статьи 29 дополнить словами ", если рассмотрение таких дел в соответствии с федеральным законом отнесено к компетенции арбитражного суда"</w:t>
      </w:r>
    </w:p>
    <w:p>
      <w:r>
        <w:t>статью 191 дополнить частью 4 следующего содержания: "4. Дела об оспаривании нормативных правовых актов рассматриваются в арбитражном суде, если их рассмотрение в соответствии с федеральным законом отнесено к компетенции арбитражного суда."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