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гражданстве Российской Федерации" и статьи 7 и 9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2008, № 19, ст. 2094; № 30, ст. 3616; 2009, № 23, ст. 2760; № 26, ст. 3125; 2010, № 21, ст. 2524; № 31, ст. 4196; № 52, ст. 7000; 2011, № 1, ст. 29; № 49, ст. 7061) следующие изменения</w:t>
      </w:r>
    </w:p>
    <w:p>
      <w:r>
        <w:t>статью 7 дополнить пунктом 16 следующего содержания: "16. Разрешение на временное проживание, выданное иностранному гражданину, являющемуся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его семьи, переселяющимся совместно с ним в Российскую Федерацию, аннулируется в случаях, предусмотренных подпунктами 1-7, 10, 11 пункта 1 и пунктом 12 настоящей статьи."</w:t>
      </w:r>
    </w:p>
    <w:p>
      <w:r>
        <w:t>статью 9 дополнить пунктом 5 следующего содержания: "5. Вид на жительство, выданный иностранному гражданину, являющемуся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его семьи, переселяющимся совместно с ним в Российскую Федерацию, аннулируется в случаях, предусмотренных подпунктами 1-7, 10, 11 пункта 1 и пунктом 2 настоящей статьи."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