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362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362 части второй Налогового кодекса Российской Федерации (Собрание законодательства Российской Федерации, 2000, № 32, ст. 3340; 2002, № 30, ст. 3027; 2004, № 27, ст. 2711; № 31, ст. 3231; 2005, № 43, ст. 4350) изменения, дополнив его абзацами следующего содержания: "Исчисление суммы налога производится с учетом повышающего коэффициента: 1,1 - в отношении легковых автомобилей средней стоимостью от 3 миллионов до 5 миллионов рублей включительно, с года выпуска которых прошло от 2 до 3 лет; (Утратил силу - Федеральный закон от 27.11.2017 № 335-ФЗ) (Утратил силу - Федеральный закон от 27.11.2017 № 335-ФЗ) 2 - в отношении легковых автомобилей средней стоимостью от 5 миллионов до 10 миллионов рублей включительно, с года выпуска которых прошло не более 5 лет; 3 - в отношении легковых автомобилей средней стоимостью от 10 миллионов до 15 миллионов рублей включительно, с года выпуска которых прошло не более 10 лет; 3 - в отношении легковых автомобилей средней стоимостью от 15 миллионов рублей, с года выпуска которых прошло не более 20 лет. При этом исчисление сроков, указанных в настоящем пункте, начинается с года выпуска соответствующего легкового автомобиля. Порядок расчета средней стоимости легковых автомобилей для целей настоящей главы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торговли. Перечень легковых автомобилей средней стоимостью от 3 миллионов рублей размещается ежегодно не позднее 1 марта на официальном сайте указанного органа в информационно-телекоммуникационной сети "Интернет".".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года, но не ранее чем по истечении одного месяца со дня его официального опубликования и не ранее 1-го числа очередного налогового периода по транспортному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