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1151 части третьей Гражданского кодекса Российской Федерации</w:t>
      </w:r>
    </w:p>
    <w:p>
      <w:r>
        <w:rPr>
          <w:b/>
        </w:rPr>
        <w:t>Статья 1</w:t>
      </w:r>
    </w:p>
    <w:p>
      <w:r>
        <w:t>Внести в пункт 2 статьи 1151 части третьей Гражданского кодекса Российской Федерации (Собрание законодательства Российской Федерации, 2001, № 49, ст. 4552; 2007, № 49, ст. 6042) изменение, изложив его в следующей редакции: "2. В порядке наследования по закону в собственность городского или сельского поселения, муниципального района (в части межселенных территорий) либо городского округа переходит следующее выморочное имущество, находящееся на соответствующей территории: жилое помещение; земельный участок, а также расположенные на нем здания, сооружения, иные объекты недвижимого имущества; доля в праве общей долевой собственности на указанные в абзацах втором и третьем настоящего пункта объекты недвижимого имущества. Если указанные объекты расположены в субъекте Российской Федерации - городе федерального значения Москве или Санкт-Петербурге, они переходят в собственность такого субъекта Российской Федерации. Жилое помещение, указанное в абзаце втором настоящего пункта, включается в соответствующий жилищный фонд социального использования. Иное выморочное имущество переходит в порядке наследования по закону в собственность Российской Федерации.".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