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7, ст. 835; 2010, № 7, ст. 705; № 27, ст. 3408; № 31, ст. 4190; 2011, № 45, ст. 6333; № 50, ст. 7351; 2012, № 53, ст. 7578; 2013, № 30, ст. 4062) следующие изменения</w:t>
      </w:r>
    </w:p>
    <w:p>
      <w:r>
        <w:t>статью 2 дополнить подпунктом 71 следующего содержания: "71) международно-правовая защита присвоения (назначения) радиочастот или радиочастотных каналов - правовые, технические, организационные и научно-исследовательские мероприятия, осуществляемые в целях обеспечения международного признания присвоения (назначения) радиочастот или радиочастотных каналов для радиоэлектронных средств различных радиослужб Российской Федерации;"</w:t>
      </w:r>
    </w:p>
    <w:p>
      <w:r>
        <w:t>статью 69 дополнить пунктом 3 следующего содержания: "3. Порядок проведения в Российской Федерации работ по международно-правовой защите присвоения (назначения) радиочастот или радиочастотных каналов, в том числе работ, связанных с заявлением, координацией и регистрацией в Международном союзе электросвязи таких радиочастот или радиочастотных каналов и соответствующих позиций спутников на геостационарной орбите либо соответствующих характеристик спутников на других орбитах, устанавливается Правительством Российской Федерации."</w:t>
      </w:r>
    </w:p>
    <w:p>
      <w:r>
        <w:t>в статье 70: а) абзац второй пункта 3 изложить в следующей редакции: "создание российских сегментов глобальных, региональных спутниковых сетей связи в целях обеспечения взаимодействия с единой сетью связи Российской Федерации и обеспечение управления российскими сегментами глобальных, региональных спутниковых сетей связи с территории Российской Федерации;"; б) дополнить пунктом 4 следующего содержания: "4. Порядок использования на территории Российской Федерации спутниковых сетей связи, находящихся под юрисдикцией иностранных государств,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