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 Федерального закона "О связи"</w:t>
      </w:r>
    </w:p>
    <w:p>
      <w:r>
        <w:rPr>
          <w:b/>
        </w:rPr>
        <w:t>Статья 1</w:t>
      </w:r>
    </w:p>
    <w:p>
      <w:r>
        <w:t>Внести в статью 46 Федерального закона от 7 июля 2003 года № 126-ФЗ "О связи" (Собрание законодательства Российской Федерации, 2003, № 28, ст. 2895; 2007, № 7, ст. 835; 2010, № 7, ст. 705; № 31, ст. 4190; 2012, № 31, ст. 4328; № 53, ст. 7578) изменение, дополнив ее пунктом 7 следующего содержания: "7. Оператор подвижной радиотелефонной связи, нарушивший установленный в соответствии с пунктом 6 настоящей статьи срок передачи в сеть другого оператора подвижной радиотелефонной связи абонентского номера, решение о сохранении которого принял абонент, обязан обеспечить абоненту возможность безвозмездного пользования подвижной радиотелефонной связью в соответствии с условиями ранее заключенного договора об оказании услуг подвижной радиотелефонной связи до момента фактической передачи данного номера в сеть выбранного абонентом оператора подвижной радиотелефонной связи.".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