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Об упразднении Приуральского районного суда Ямало-Ненецкого автономного округа</w:t>
      </w:r>
    </w:p>
    <w:p>
      <w:r>
        <w:rPr>
          <w:b/>
        </w:rPr>
        <w:t>Статья 1</w:t>
      </w:r>
    </w:p>
    <w:p>
      <w:r>
        <w:t>В соответствии со статьей 17 Федерального конституционного закона от 31 декабря 1996 года № 1-ФКЗ "О судебной системе Российской Федерации" и статьями 3, 32 и 33 Федерального конституционного закона от 7 февраля 2011 года № 1-ФКЗ "О судах общей юрисдикции в Российской Федерации"</w:t>
      </w:r>
    </w:p>
    <w:p>
      <w:r>
        <w:t>упразднить Приуральский районный суд Ямало-Ненецкого автономного округа, передав относящиеся к его ведению вопросы осуществления правосудия в юрисдикцию Лабытнангского городского суда Ямало-Ненецкого автономного округа</w:t>
      </w:r>
    </w:p>
    <w:p>
      <w:r>
        <w:t>установить, что юрисдикция Лабытнангского городского суда Ямало-Ненецкого автономного округа распространяется на территории города Лабытнанги и Приуральского района Ямало-Ненецкого автономного округа в границах, существующих на день вступления в силу настоящего Федерального закона</w:t>
      </w:r>
    </w:p>
    <w:p>
      <w:r>
        <w:t>образовать в составе Лабытнангского городского суда Ямало-Ненецкого автономного округа постоянное судебное присутствие в селе Аксарка Приуральского района Ямало-Ненецкого автономного округа</w:t>
      </w:r>
    </w:p>
    <w:p>
      <w:r>
        <w:t>Судебному департаменту при Верховном Суде Российской Федерации осуществить организационные мероприятия, связанные с исполнением настоящего Федерального закона</w:t>
      </w:r>
    </w:p>
    <w:p>
      <w:r>
        <w:t>финансовое обеспечение расходных обязательств, связанных с исполнением настоящего Федерального закона, осуществляется за счет средств федерального бюджета в пределах бюджетных ассигнований, предусмотренных на содержание судов общей юрисдикции</w:t>
      </w:r>
    </w:p>
    <w:p>
      <w:r>
        <w:rPr>
          <w:b/>
        </w:rPr>
        <w:t>Статья 2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опубликования, за исключением пунктов 1-3 статьи 1 настоящего Федерального закона</w:t>
      </w:r>
    </w:p>
    <w:p>
      <w:r>
        <w:rPr>
          <w:b/>
        </w:rPr>
        <w:t xml:space="preserve">2. </w:t>
      </w:r>
      <w:r>
        <w:t>Пункты 1-3 статьи 1 настоящего Федерального закона вступают в силу по истечении одного года после дня официального опубликования настоящего Федерального закона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