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"Об обязательном социальном страховании от несчастных случаев на производстве и профессиональных заболеваний"</w:t>
      </w:r>
    </w:p>
    <w:p>
      <w:r>
        <w:rPr>
          <w:b/>
        </w:rPr>
        <w:t>Статья 1</w:t>
      </w:r>
    </w:p>
    <w:p>
      <w:r>
        <w:t>Внести в статью 11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2007, № 1, ст. 22) следующие изменения</w:t>
      </w:r>
    </w:p>
    <w:p>
      <w:r>
        <w:t>в пункте 1 второе предложение изложить в следующей редакции: "В местностях, где установлены районные коэффициенты, процентные надбавки к заработной плате, размер единовременной страховой выплаты, назначаемой застрахованному в зависимости от степени утраты им профессиональной трудоспособности, определяется с учетом этих коэффициентов и надбавок."</w:t>
      </w:r>
    </w:p>
    <w:p>
      <w:r>
        <w:t>пункт 2 изложить в следующей редакции: "2. В случае смерти застрахованного размер единовременной страховой выплаты составляет 1 миллион рублей."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