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6, ст. 636; № 10, ст. 1069; № 31, ст. 3431; 2007, № 7, ст. 835; 2010, № 7, ст. 705; № 27, ст. 3408; № 31, ст. 4190; 2011, № 7, ст. 901; № 27, ст. 3873; № 29, ст. 4291; № 45, ст. 6333; № 50, ст. 7351, 7366; 2012, № 31, ст. 4328; № 53, ст. 7578; 2013, № 19, ст. 2326; № 30, ст. 4062; № 43, ст. 5451; № 44, ст. 5643; № 48, ст. 6162; № 49, ст. 6339, 6347; № 52, ст. 6961; 2014, № 6, ст. 560; № 19, ст. 2302) следующие изменения: 1) статью 2 дополнить подпунктом 221 следующего содержания: "221) рассылка по сети подвижной радиотелефонной связи - автоматическая передача абонентам коротких текстовых сообщений (сообщений, состоящих из букв и (или) символов, набранных в определенной последовательности) по сети подвижной радиотелефонной связи или передача абонентам коротких текстовых сообщений с использованием нумерации, не соответствующей российской системе и плану нумерации, а также сообщений, передача которых не предусмотрена договором о межсетевом взаимодействии с иностранными операторами связи;"; 2) дополнить статьей 441 следующего содержания: "Статья 441. Рассылка по сети подвижной радиотелефонной связи 1. Рассылка по сети подвижной радиотелефонной связи (далее также - рассылка) должна осуществляться при условии получения предварительного согласия абонента, выраженного посредством совершения им действий, однозначно идентифицирующих этого абонента и позволяющих достоверно установить его волеизъявление на получение рассылки. Рассылка признается осуществленной без предварительного согласия абонента, если заказчик рассылки в случае осуществления рассылки по его инициативе или оператор подвижной радиотелефонной связи в случае осуществления рассылки по инициативе оператора подвижной радиотелефонной связи не докажет, что такое согласие было получено.</w:t>
      </w:r>
    </w:p>
    <w:p>
      <w:r>
        <w:rPr>
          <w:b/>
        </w:rPr>
        <w:t xml:space="preserve">2. </w:t>
      </w:r>
      <w:r>
        <w:t>Рассылка по сети подвижной радиотелефонной связи по инициативе заказчика рассылки осуществляется на основании договора, заключенного с оператором подвижной радиотелефонной связи, абоненту которого предназначена рассылка. Предметом указанного договора являются услуги по осуществлению рассылки оператором связи</w:t>
      </w:r>
    </w:p>
    <w:p>
      <w:r>
        <w:rPr>
          <w:b/>
        </w:rPr>
        <w:t xml:space="preserve">3. </w:t>
      </w:r>
      <w:r>
        <w:t>Рассылка по сети подвижной радиотелефонной связи, осуществляемая с нарушением требований настоящего Федерального закона, является незаконной, за исключением рассылки сообщений в целях информирования абонента в связи с перенесением абонентского номера, иных сообщений, которую оператор связи обязан осуществлять в соответствии с законодательством Российской Федерации, а также рассылки сообщений по инициативе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местных администраций и других органов местного самоуправления, осуществляющих исполнительно-распорядительные полномочия в соответствии с законодательством Российской Федерации.";</w:t>
      </w:r>
    </w:p>
    <w:p>
      <w:r>
        <w:rPr>
          <w:b/>
        </w:rPr>
        <w:t xml:space="preserve">3. </w:t>
      </w:r>
      <w:r>
        <w:t>статью 45 дополнить пунктом 6 следующего содержания: "6. Абонент вправе обратиться к оператору подвижной радиотелефонной связи с требованием о прекращении передачи на его пользовательское оборудование (оконечное оборудование) коротких текстовых сообщений с указанием абонентского номера или уникального кода идентификации, которые содержатся в таких сообщениях и от получения которых абонент отказывается, за исключением сообщений, передача которых осуществляется оператором подвижной радиотелефонной связи в соответствии с законодательством Российской Федерации. Оператор подвижной радиотелефонной связи без взимания платы с абонента обязан прекратить рассылку по сети подвижной радиотелефонной связи на пользовательское оборудование (оконечное оборудование) абонента с абонентского номера или уникального кода идентификации, указанных в обращении абонента."</w:t>
      </w:r>
    </w:p>
    <w:p>
      <w:r>
        <w:rPr>
          <w:b/>
        </w:rPr>
        <w:t xml:space="preserve">3. </w:t>
      </w:r>
      <w:r>
        <w:t>пункт 1 статьи 46 дополнить абзацем следующего содержания: "прекратить оказание услуг по пропуску по своей сети трафика, содержащего осуществляемую с нарушением требований настоящего Федерального закона рассылку."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