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статью 33 Федерального закона от 11 июля 2001 года № 95-ФЗ "О политических партиях" (Собрание законодательства Российской Федерации, 2001, № 29, ст. 2950; 2005, № 1, ст. 9; № 30, ст. 3104; 2008, № 30, ст. 3600; 2012, № 49, ст. 6756) следующие изменения</w:t>
      </w:r>
    </w:p>
    <w:p>
      <w:r>
        <w:t>в подпункте "а" пункта 6 слово "пятидесяти" заменить словами "ста десяти"</w:t>
      </w:r>
    </w:p>
    <w:p>
      <w:r>
        <w:t>пункт 11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 силу подпункт "и" пункта 13 статьи 7 Федерального закона от 21 июля 2005 года № 93-ФЗ "О внесении изменений в законодательные акты Российской Федерации о выборах и референдумах и иные законодательные акты Российской Федерации" (Собрание законодательства Российской Федерации, 2005, № 30, ст. 3104).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