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 и 17 Федерального закона "О развитии сельского хозяйства"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264-ФЗ "О развитии сельского хозяйства" (Собрание законодательства Российской Федерации, 2007, № 1, ст. 27; 2008, № 49, ст. 5748; 2009, № 30, ст. 3735) следующие изменения</w:t>
      </w:r>
    </w:p>
    <w:p>
      <w:r>
        <w:t>часть 1 статьи 15 дополнить пунктом 4 следующего содержания: "4) организует работы по определению функциональных характеристик (потребительских свойств) и эффективности сельскохозяйственной техники и оборудования, результаты которых учитываются при оказании государственной поддержки. Порядок организации указанных работ и критерии определения функциональных характеристик (потребительских свойств) и эффективности сельскохозяйственной техники и оборудования, перечень мероприятий, на которые государственная поддержка предоставляется с учетом результатов указанных работ, устанавливаются Правительством Российской Федерации."</w:t>
      </w:r>
    </w:p>
    <w:p>
      <w:r>
        <w:t>часть 4 статьи 17 дополнить пунктом 91 следующего содержания: "91) о результатах работ по определению функциональных характеристик (потребительских свойств) и эффективности сельскохозяйственной техники и оборудования, которые учитываются при оказании государственной поддержки;"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