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"Об оперативно-розыскной деятельности"</w:t>
      </w:r>
    </w:p>
    <w:p>
      <w:r>
        <w:rPr>
          <w:b/>
        </w:rPr>
        <w:t>Статья 1</w:t>
      </w:r>
    </w:p>
    <w:p>
      <w:r>
        <w:t>Внести в статью 4 Федерального закона от 12 августа 1995 года № 144-ФЗ "Об оперативно-розыскной деятельности" (Собрание законодательства Российской Федерации, 1995, № 33, ст. 3349) изменение, дополнив ее частью третьей следующего содержания: "Организация и тактика проведения органами внутренних дел Российской Федерации, таможенными органами Российской Федерации, Федеральной службой исполнения наказаний, органами по контролю за оборотом наркотических средств и психотропных веществ оперативно-розыскных мероприятий (кроме наблюдения, проводимого на открытой местности, в транспортных средствах и общественных местах) с использованием специальных технических средств, предназначенных для негласного получения информации, определяются ведомственными нормативными правовыми актами, согласованными с Федеральной службой безопасности Российской Федерации.".</w:t>
      </w:r>
    </w:p>
    <w:p>
      <w:r>
        <w:rPr>
          <w:b/>
        </w:rPr>
        <w:t>Статья 2</w:t>
      </w:r>
    </w:p>
    <w:p>
      <w:r>
        <w:t>Ведомственные нормативные правовые акты, предусмотренные частью третьей статьи 4 Федерального закона от 12 августа 1995 года № 144-ФЗ "Об оперативно-розыскной деятельности" (в редакции настоящего Федерального закона), вступившие в силу до дня вступления в силу настоящего Федерального закона, подлежат согласованию с Федеральной службой безопасности Российской Федерации и переизданию в течение одного года со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