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w:t>
      </w:r>
    </w:p>
    <w:p>
      <w:r>
        <w:t>Внести в статью 18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2003, № 27, ст. 2709; 2004, № 50, ст. 4950; 2006, № 1, ст. 13; № 31, ст. 3427; 2007, № 10, ст. 1151; № 43, ст. 5084; 2008, № 13, ст. 1186; 2009, № 7, ст. 772; № 14, ст. 1576; № 51, ст. 6156; 2010, № 14, ст. 1549; 2011, № 1, ст. 18; № 48, ст. 6730; 2012, № 19, ст. 2274; № 50, ст. 6954; 2013, № 14, ст. 1638; 2014, № 8, ст. 739; 2015, № 6, ст. 884) следующие изменения</w:t>
      </w:r>
    </w:p>
    <w:p>
      <w:r>
        <w:t>абзац тринадцатый пункта 32 дополнить словами ", но не ранее чем за пять дней до этого дня"</w:t>
      </w:r>
    </w:p>
    <w:p>
      <w:r>
        <w:t>в абзаце двенадцатом пункта 32-1 первое предложение дополнить словами ", но не ранее чем за пять дней до этого дня"</w:t>
      </w:r>
    </w:p>
    <w:p>
      <w:r>
        <w:t>пункт 5 изложить в следующей редакции: "5.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избирается гражданами Российской Федерации или депутатами законодательного (представительного) органа государственной власти субъекта Российской Федерации на срок не более пяти лет и не может замещать указанную должность более двух сроков подряд. Срок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определяется конституцией (уставом) субъекта Российской Федерации и исчисляется со дня его вступления в должность."</w:t>
      </w:r>
    </w:p>
    <w:p>
      <w:r>
        <w:rPr>
          <w:b/>
        </w:rPr>
        <w:t>Статья 2</w:t>
      </w:r>
    </w:p>
    <w:p>
      <w:r>
        <w:t>Установить, что при определении в соответствии с пунктом 5 статьи 18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настоящего Федерального закона) сроков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ранее наделенного такими полномочиями, а затем избранного на указанную должность, первым из числа двух возможных сроков подряд является срок, на который это лицо было избрано после дня вступления в силу Федерального закона от 2 мая 2012 года № 40-ФЗ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основных гарантиях избирательных прав и права на участие в референдуме граждан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