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информации, информационных технологиях и о защите информации" и статью 14 Федерального закона "О контрактной системе в сфере закупок товаров, работ, услуг для обеспечения государственных и муниципальных нужд"</w:t>
      </w:r>
    </w:p>
    <w:p>
      <w:r>
        <w:rPr>
          <w:b/>
        </w:rPr>
        <w:t>Статья 1</w:t>
      </w:r>
    </w:p>
    <w:p>
      <w:r>
        <w:t>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2011, № 15, ст. 2038; № 30, ст. 4600; 2012, № 31, ст. 4328; 2013, № 14, ст. 1658; № 23, ст. 2870; № 27, ст. 3479; № 52, ст. 6961, 6963; 2014, № 19, ст. 2302; № 30, ст. 4223, 4243; № 48, ст. 6645; 2015, № 1, ст. 84) дополнить статьей 121 следующего содержания: "Статья 121. Особенности государственного регулирования в сфере использования российских программ для электронных вычислительных машин и баз данных 1. В целях расширения использования российских программ для электронных вычислительных машин и баз данных, подтверждения их происхождения из Российской Федерации, а также в целях оказания правообладателям программ для электронных вычислительных машин или баз данных мер государственной поддержки создается единый реестр российских программ для электронных вычислительных машин и баз данных (далее - реестр российского программного обеспечения).</w:t>
      </w:r>
    </w:p>
    <w:p>
      <w:r>
        <w:rPr>
          <w:b/>
        </w:rPr>
        <w:t xml:space="preserve">2. </w:t>
      </w:r>
      <w:r>
        <w:t>Правила формирования и ведения реестра российского программного обеспечения, состав сведений, включаемых в реестр российского программного обеспечения, в том числе об основаниях возникновения исключительного права у правообладателя (правообладателей), условия включения таких сведений в реестр российского программного обеспечения и исключения их из реестра российского программного обеспечения, порядок предоставления сведений, включаемых в реестр российского программного обеспечения, порядок принятия решения о включении таких сведений в реестр российского программного обеспечения устанавливаются Правительством Российской Федерации</w:t>
      </w:r>
    </w:p>
    <w:p>
      <w:r>
        <w:rPr>
          <w:b/>
        </w:rPr>
        <w:t xml:space="preserve">3. </w:t>
      </w:r>
      <w:r>
        <w:t>Уполномоченный Правительством Российской Федерации федеральный орган исполнительной власти в порядке и в соответствии с критериями, которые определяются Правительством Российской Федерации, может привлечь к формированию и ведению реестра российского программного обеспечения оператора реестра российского программного обеспечения - организацию, зарегистрированную на территории Российской Федерации</w:t>
      </w:r>
    </w:p>
    <w:p>
      <w:r>
        <w:rPr>
          <w:b/>
        </w:rPr>
        <w:t xml:space="preserve">4. </w:t>
      </w:r>
      <w:r>
        <w:t>Уполномоченный Правительством Российской Федерации федеральный орган исполнительной власти утверждает классификатор программ для электронных вычислительных машин и баз данных в целях ведения реестра российского программного обеспечения</w:t>
      </w:r>
    </w:p>
    <w:p>
      <w:r>
        <w:rPr>
          <w:b/>
        </w:rPr>
        <w:t xml:space="preserve">5. </w:t>
      </w:r>
      <w:r>
        <w:t>В реестр российского программного обеспечения включаются сведения о программах для электронных вычислительных машин и базах данных, которые соответствуют следующим требованиям</w:t>
      </w:r>
    </w:p>
    <w:p>
      <w:r>
        <w:rPr>
          <w:b/>
        </w:rPr>
        <w:t xml:space="preserve">6. </w:t>
      </w:r>
      <w:r>
        <w:t>Правительством Российской Федерации могут быть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w:t>
      </w:r>
    </w:p>
    <w:p>
      <w:r>
        <w:rPr>
          <w:b/>
        </w:rPr>
        <w:t xml:space="preserve">7. </w:t>
      </w:r>
      <w:r>
        <w:t>Программы для электронных вычислительных машин и базы данных, сведения о которых включены в реестр российского программного обеспечения, признаются происходящими из Российской Федерации</w:t>
      </w:r>
    </w:p>
    <w:p>
      <w:r>
        <w:rPr>
          <w:b/>
        </w:rPr>
        <w:t xml:space="preserve">8. </w:t>
      </w:r>
      <w:r>
        <w:t>Для целей настоящей статьи доля участия одной организации в другой организации или гражданина Российской Федерации в организации определяется в соответствии с порядком, установленным главой 141 Налогового кодекса Российской Федерации</w:t>
      </w:r>
    </w:p>
    <w:p>
      <w:r>
        <w:rPr>
          <w:b/>
        </w:rPr>
        <w:t xml:space="preserve">9. </w:t>
      </w:r>
      <w:r>
        <w:t>Для целей настоящей статьи контролируемой иностранным лицом российской коммерческой организацией или российской некоммерческой организацией признается организация, решения которой иностранное лицо имеет возможность определять в силу преобладающего прямого и (или) косвенного участия в этой организации, участия в договоре (соглашении), предметом которого является управление этой организацией, или иных особенностей отношений между иностранным лицом и этой организацией и (или) иными лицами</w:t>
      </w:r>
    </w:p>
    <w:p>
      <w:r>
        <w:rPr>
          <w:b/>
        </w:rPr>
        <w:t xml:space="preserve">10. </w:t>
      </w:r>
      <w:r>
        <w:t>Решение об отказе во включении в реестр российского программного обеспечения программ для электронных вычислительных машин или баз данных может быть обжаловано правообладателем программы для электронных вычислительных машин или базы данных в суд в течение трех месяцев со дня получения такого решения."</w:t>
      </w:r>
    </w:p>
    <w:p>
      <w:r>
        <w:rPr>
          <w:b/>
        </w:rPr>
        <w:t xml:space="preserve">5. </w:t>
      </w:r>
      <w:r>
        <w:t>исключительное право на программу для электронных вычислительных машин или базу данных на территории всего мира и на весь срок действия исключительного права принадлежит одному либо нескольким из следующих лиц (правообладателей):</w:t>
      </w:r>
    </w:p>
    <w:p>
      <w:r>
        <w:rPr>
          <w:b/>
        </w:rPr>
        <w:t xml:space="preserve">5. </w:t>
      </w:r>
      <w:r>
        <w:t>программа для электронных вычислительных машин или база данных правомерно введена в гражданский оборот на территории Российской Федерации, экземпляры программы для электронных вычислительных машин или базы данных либо права использования программы для электронных вычислительных машин или базы данных свободно реализуются на всей территории Российской Федерации</w:t>
      </w:r>
    </w:p>
    <w:p>
      <w:r>
        <w:rPr>
          <w:b/>
        </w:rPr>
        <w:t xml:space="preserve">5. </w:t>
      </w:r>
      <w:r>
        <w:t>общая сумма выплат по лицензионным и иным договорам, предусматривающим предоставление прав на результаты интеллектуальной деятельности и средства индивидуализации, выполнение работ, оказание услуг в связи с разработкой, адаптацией и модификацией программы для электронных вычислительных машин или базы данных и для разработки, адаптации и модификации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организаций и (или) российских некоммерческих организаций, агентов, представителей иностранных лиц и контролируемых ими российских коммерческих организаций и (или) российских некоммерческих организаций составляет менее тридцати процентов от выручки правообладателя (правообладателей) программы для электронных вычислительных машин или базы данных от реализации программы для электронных вычислительных машин или базы данных, включая предоставление прав использования, независимо от вида договора за календарный год</w:t>
      </w:r>
    </w:p>
    <w:p>
      <w:r>
        <w:rPr>
          <w:b/>
        </w:rPr>
        <w:t xml:space="preserve">5. </w:t>
      </w:r>
      <w:r>
        <w:t>сведения о программе для электронных вычислительных машин или базе данных не составляют государственную тайну, и программа для электронных вычислительных машин или база данных не содержит сведений, составляющих государственную тайну</w:t>
      </w:r>
    </w:p>
    <w:p>
      <w:r>
        <w:rPr>
          <w:b/>
        </w:rPr>
        <w:t xml:space="preserve">5. </w:t>
      </w:r>
      <w:r>
        <w:t>Российской Федерации, субъекту Российской Федерации, муниципальному образованию</w:t>
      </w:r>
    </w:p>
    <w:p>
      <w:r>
        <w:rPr>
          <w:b/>
        </w:rPr>
        <w:t xml:space="preserve">5. </w:t>
      </w:r>
      <w:r>
        <w:t>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w:t>
      </w:r>
    </w:p>
    <w:p>
      <w:r>
        <w:rPr>
          <w:b/>
        </w:rPr>
        <w:t xml:space="preserve">5. </w:t>
      </w:r>
      <w:r>
        <w:t>российской коммерческой организации, в которой суммарная доля прямого и (или) косвенного участия Российской Федерации, субъектов Российской Федерации, муниципальных образований, российских некоммерческих организаций, указанных в подпункте "б" настоящего пункта, граждан Российской Федерации составляет более пятидесяти процентов</w:t>
      </w:r>
    </w:p>
    <w:p>
      <w:r>
        <w:rPr>
          <w:b/>
        </w:rPr>
        <w:t xml:space="preserve">5. </w:t>
      </w:r>
      <w:r>
        <w:t>гражданину Российской Федерации</w:t>
      </w:r>
    </w:p>
    <w:p>
      <w:r>
        <w:rPr>
          <w:b/>
        </w:rPr>
        <w:t>Статья 2</w:t>
      </w:r>
    </w:p>
    <w:p>
      <w:r>
        <w:t>Часть 3 статьи 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изложить в следующей редакции: "3. 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 В случае, если указанными нормативными правовыми актами Правительства Российской Федерации предусмотрены обстоятельства, допускающие исключения из установленных в соответствии с настоящей частью запрета или ограничений, заказчики при наличии указанных обстоятельств обязаны разместить в единой информационной системе обоснование невозможности соблюдения указанных запрета или ограничений. Порядок подготовки и размещения обоснования невозможности соблюдения указанных запрета или ограничений в единой информационной системе, а также требования к его содержанию устанавливаются Правительством Российской Федерации. Определение страны происхождения указанных товаров осуществляется в соответствии с законодательством Российской Федерации.".</w:t>
      </w:r>
    </w:p>
    <w:p>
      <w:r>
        <w:rPr>
          <w:b/>
        </w:rPr>
        <w:t>Статья 3</w:t>
      </w:r>
    </w:p>
    <w:p>
      <w:r>
        <w:t>Настоящий Федеральный закон вступает в силу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