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8 Федерального закона "О введении в действие Уголовного кодекса Российской Федерации" и Федеральный закон "О введении в действие Уголовно-процессуального кодекса Российской Федерации"</w:t>
      </w:r>
    </w:p>
    <w:p>
      <w:r>
        <w:rPr>
          <w:b/>
        </w:rPr>
        <w:t>Статья 1</w:t>
      </w:r>
    </w:p>
    <w:p>
      <w:r>
        <w:t>Статью 8 Федерального закона от 13 июня 1996 года № 64-ФЗ "О введении в действие Уголовного кодекса Российской Федерации" (Собрание законодательства Российской Федерации, 1996, № 25, ст. 2955; 2003, № 50, ст. 4847) дополнить частью второй следующего содержания: "Внесение изменений в Уголовный кодекс Российской Федерации, признание утратившими силу положений Уголовного кодекса Российской Федерации осуществляются отдельными федеральными законами и не могут быть включены в тексты федеральных законов, изменяющих (приостанавливающих, отменяющих, признающих утратившими силу) другие законодательные акты Российской Федерации или содержащих самостоятельный предмет правового регулирования, за исключением текстов федеральных законов, вносящих изменения в Уголовно-процессуальный кодекс Российской Федерации.".</w:t>
      </w:r>
    </w:p>
    <w:p>
      <w:r>
        <w:rPr>
          <w:b/>
        </w:rPr>
        <w:t>Статья 2</w:t>
      </w:r>
    </w:p>
    <w:p>
      <w:r>
        <w:t>Федеральный закон от 18 декабря 2001 года № 177-ФЗ "О введении в действие Уголовно-процессуального кодекса Российской Федерации" (Собрание законодательства Российской Федерации, 2001, № 52, ст. 4924; 2002, № 22, ст. 2028; № 52, ст. 5137; 2007, № 1, ст. 4; № 31, ст. 4011) дополнить статьей 121 следующего содержания: "Статья 121. Внесение изменений в Уголовно-процессуальный кодекс Российской Федерации, признание утратившими силу положений Уголовно-процессуального кодекса Российской Федерации осуществляются отдельными федеральными законами и не могут быть включены в тексты федеральных законов, изменяющих (приостанавливающих, отменяющих, признающих утратившими силу) другие законодательные акты Российской Федерации или содержащих самостоятельный предмет правового регулирования, за исключением текстов федеральных законов, вносящих изменения в Уголовный кодекс Российской Федерации.".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