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</w:t>
      </w:r>
    </w:p>
    <w:p>
      <w:r>
        <w:rPr>
          <w:b/>
        </w:rPr>
        <w:t>Статья 1</w:t>
      </w:r>
    </w:p>
    <w:p>
      <w:r>
        <w:t>Утвердить схему одномандатных избирательных округов для проведения выборов депутатов Государственной Думы Федерального Собрания Российской Федерации согласно приложению к настоящему Федеральному закону.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