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противодействии экстремистской деятельности"</w:t>
      </w:r>
    </w:p>
    <w:p>
      <w:r>
        <w:rPr>
          <w:b/>
        </w:rPr>
        <w:t>Статья 1</w:t>
      </w:r>
    </w:p>
    <w:p>
      <w:r>
        <w:t>Внести в Федеральный закон от 25 июля 2002 года № 114-ФЗ "О противодействии экстремистской деятельности" (Собрание законодательства Российской Федерации, 2002, № 30, ст. 3031; 2006, № 31, ст. 3447, 3452; 2007, № 21, ст. 2457; № 31, ст. 4008; 2008, № 18, ст. 1939; 2012, № 53, ст. 7580; 2013, № 27, ст. 3477; 2014, № 26, ст. 3385; № 30, ст. 4237; 2015, № 1, ст. 58; № 10, ст. 1393) изменение, дополнив его статьей 31 следующего содержания: "Статья 31. Особенности применения законодательстваРоссийской Федерации о противодействии экстремистской деятельности в отношении религиозных текстов Библия, Коран, Танах и Ганджур, их содержание и цитаты из них не могут быть признаны экстремистскими материалами.".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