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49 Градостроительного кодекса Российской Федерации и статью 4 Федерального закона "О введении в действие Градостроительного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2 статьи 49 Градостроительного кодекса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17; 2011, № 30, ст. 4591, 4594, 4605; № 49, ст. 7015; 2013, № 27, ст. 3480; № 30, ст. 4080; 2014, № 26, ст. 3387; № 30, ст. 4220; № 43, ст. 5799; 2015, № 1, ст. 11, 86) следующие изменения</w:t>
      </w:r>
    </w:p>
    <w:p>
      <w:r>
        <w:t>пункт 2 дополнить словами ", в случае, если строительство или реконструкция таких жилых домов осуществляется без привлечения средств бюджетов бюджетной системы Российской Федерации"</w:t>
      </w:r>
    </w:p>
    <w:p>
      <w:r>
        <w:t>пункт 3 дополнить словами ", в случае, если строительство или реконструкция таких многоквартирных домов осуществляется без привлечения средств бюджетов бюджетной системы Российской Федерации"</w:t>
      </w:r>
    </w:p>
    <w:p>
      <w:r>
        <w:rPr>
          <w:b/>
        </w:rPr>
        <w:t>Статья 2</w:t>
      </w:r>
    </w:p>
    <w:p>
      <w:r>
        <w:t>Часть 4 статьи 4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1, ст. 17; № 52, ст. 5498; 2009, № 52, ст. 6419, 6427; 2011, № 13, ст. 1688; № 30, ст. 4594; 2012, № 27, ст. 3587; № 53, ст. 7614, 7615; 2013, № 52, ст. 6976; 2014, № 26, ст. 3377; 2015, № 1, ст. 9, 38; № 10, ст. 1418; № 29, ст. 4376) после слов "2015 года" дополнить словами ", а применительно к городу федерального значения Москве до 31 декабря 2016 года".</w:t>
      </w:r>
    </w:p>
    <w:p>
      <w:r>
        <w:rPr>
          <w:b/>
        </w:rPr>
        <w:t>Статья 3</w:t>
      </w:r>
    </w:p>
    <w:p>
      <w:r>
        <w:t>В случае, если разрешение на строительство объектов капитального строительства, указанных в пунктах 2 и 3 части 2 статьи 49 Градостроительного кодекса Российской Федерации (в редакции настоящего Федерального закона), выдано до дня вступления в силу настоящего Федерального закона, государственный строительный надзор при строительстве или реконструкции таких объектов не осуществляется.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