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8 ноября 2007 года № 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 (Собрание законодательства Российской Федерации, 2007, № 46, ст. 5553; 2010, № 45, ст. 5753; 2011, № 17, ст. 2310; № 30, ст. 4590; 2015, № 29, ст. 4374; № 48, ст. 6723) следующие изменения</w:t>
      </w:r>
    </w:p>
    <w:p>
      <w:r>
        <w:t>пункт 2 статьи 11 изложить в следующей редакции: "2) установление порядка осуществления федерального государственного надзора за обеспечением сохранности автомобильных дорог федерального значения;"</w:t>
      </w:r>
    </w:p>
    <w:p>
      <w:r>
        <w:t>статью 12 дополнить пунктом 11 следующего содержания: "11) установление порядка осуществления регионального государственного надзора за обеспечением сохранности автомобильных дорог регионального и межмуниципального значения;"</w:t>
      </w:r>
    </w:p>
    <w:p>
      <w:r>
        <w:t>часть 1 статьи 13 дополнить пунктом 11 следующего содержания: "11) установление порядка осуществления муниципального контроля за обеспечением сохранности автомобильных дорог местного значения;"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