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работе на условиях неполного рабочего времени (Конвенции № 175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