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увековечением памяти жертв политических репрессий</w:t>
      </w:r>
    </w:p>
    <w:p>
      <w:r>
        <w:rPr>
          <w:b/>
        </w:rPr>
        <w:t>Статья 1</w:t>
      </w:r>
    </w:p>
    <w:p>
      <w:pPr>
        <w:pStyle w:val="Heading2"/>
      </w:pPr>
      <w:r>
        <w:t>Закона Российской Федерации от 18 октября 1991 года № 1761-I "О реабилитации жертв политических репрессий" (Ведомости Съезда народных депутатов РСФСР и Верховного Совета РСФСР, 1991, № 44, ст. 1428; Ведомости Съезда народных депутатов Российской Федерации и Верховного Совета Российской Федерации, 1992, № 28, ст. 1624; 1993, № 1, ст. 21; Российская газета, 1993, 15 октября; Собрание законодательства Российской Федерации, 2000, № 33, ст. 3348; 2003, № 43, ст. 4108; 2004, № 35, ст. 3607; 2005, № 27, ст. 2717; 2011, № 27, ст. 3880; № 49, ст. 7039) дополнить статьей 181 следующего содержания:</w:t>
      </w:r>
    </w:p>
    <w:p>
      <w:r>
        <w:rPr>
          <w:b/>
        </w:rPr>
        <w:t>Статья 2</w:t>
      </w:r>
    </w:p>
    <w:p>
      <w:r>
        <w:t>Пункт 1 статьи 311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6961; 2014, № 42, ст. 5611; № 45, ст. 6139; № 52, ст. 7551; 2015, № 18, ст. 2618; № 48, ст. 6724) дополнить подпунктом 18 следующего содержания: "18) увековечение памяти жертв политических репрессий.".</w:t>
      </w:r>
    </w:p>
    <w:p>
      <w:r>
        <w:rPr>
          <w:b/>
        </w:rPr>
        <w:t>Статья 3</w:t>
      </w:r>
    </w:p>
    <w:p>
      <w:r>
        <w:t>Пункт 2 статьи 161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2014, № 43, ст. 5799) дополнить абзацем следующего содержания: "В случае обнаружения места захоронения жертв массовых репрессий орган местного самоуправления направляет в региональный орган охраны объектов культурного наследия заявление о включении объекта, обладающего признаками объекта культурного наследия, в реестр с приложением сведений о местонахождении объекта (адреса объекта или при его отсутствии описания местоположения объекта) и его историко-культурной ценности.".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