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132 Воздушного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2 статьи 132 Воздушного кодекса Российской Федерации (Собрание законодательства Российской Федерации, 1997, № 12, ст. 1383; 2016, № 1, ст. 82) изменение, заменив слова "тысяча минимальных размеров оплаты труда, установленных федеральным законом на момент заключения договора страхования" словами "один миллион рублей".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Условия договоров страхования членов экипажа воздушного судна, заключенных до дня вступления в силу настоящего Федерального закона, должны быть приведены в соответствие с требованиями положений пункта 2 статьи 132 Воздушного кодекса Российской Федерации (в редакции настоящего Федерального закона) в течение шестидесяти дней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