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2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53, ст. 7596, 7619; 2013, № 23, ст. 2889; № 30, ст. 4031, 4048; № 48, ст. 6165; № 52, ст. 6985; 2014, № 23, ст. 2938; № 48, ст. 6647; 2015, № 1, ст. 17, 32; № 48, ст. 6684, 6692) изменение, дополнив его подпунктом 31 следующего содержания: "31) макулатуры. В целях настоящего Кодекса под макулатурой понимаются бумажные и картонные отходы производства и потребления, отбракованные и вышедшие из употребления бумага, картон, типографские изделия, деловые бумаги, в том числе документы с истекшим сроком хранения.".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2. </w:t>
      </w:r>
      <w:r>
        <w:t>Положения подпункта 31 пункта 2 статьи 149 части второй Налогового кодекса Российской Федерации (в редакции настоящего Федерального закона) применяются по 31 декабря 2018 года включительно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