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1294 части четвертой Гражданского кодекса Российской Федерации и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пункт 1 статьи 1294 части четвертой Гражданского кодекса Российской Федерации (Собрание законодательства Российской Федерации, 2006, № 52, ст. 5496) следующие изменения</w:t>
      </w:r>
    </w:p>
    <w:p>
      <w:r>
        <w:t>абзац первый дополнить словами ", если договором не предусмотрено иное"</w:t>
      </w:r>
    </w:p>
    <w:p>
      <w:r>
        <w:t>абзац второй дополнить словами ", если договором не предусмотрено иное"</w:t>
      </w:r>
    </w:p>
    <w:p>
      <w:r>
        <w:rPr>
          <w:b/>
        </w:rPr>
        <w:t>Статья 2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2014, № 23, ст. 2925; 2015, № 1, ст. 51; № 29, ст. 4352) следующие изменения: 1) дополнить статьей 1101 следующего содержания: "Статья 1101. Особенности заключения контракта, предметом которого являются создание произведения архитектуры, градостроительства или садово-паркового искусства и (или) разработка на его основе проектной документации объектов капитального строительства 1. Контракт, предметом которого являются создание произведения архитектуры, градостроительства или садово-паркового искусства и (или) разработка на его основе проектной документации объектов капитального строительства, должен содержать условия, согласно которым: 1) Российской Федерации, субъекту Российской Федерации, муниципальному образованию, от имени которых заключен контракт, принадлежит исключительное право использовать произведение архитектуры, градостроительства или садово-паркового искусства, созданное в ходе выполнения такого контракта, путем разработки проектной документации объекта капитального строительства на основе указанного произведения, а также путем реализации произведения архитектуры, градостроительства или садово-паркового искусства; 2) заказчик имеет право на многократное использование проектной документации объекта капитального строительства, разработанной на основе произведения архитектуры, градостроительства или садово-паркового искусства, без согласия автора произведения архитектуры, градостроительства или садово-паркового искусства.</w:t>
      </w:r>
    </w:p>
    <w:p>
      <w:r>
        <w:rPr>
          <w:b/>
        </w:rPr>
        <w:t xml:space="preserve">2. </w:t>
      </w:r>
      <w:r>
        <w:t>Автор произведения архитектуры, градостроительства или садово-паркового искусства не вправе требовать от заказчика проектной документации, указанной в пункте 2 части 1 настоящей статьи, предоставление ему права заключать контракт на разработку такой проектной документации без использования конкурентных способов определения поставщиков (подрядчиков, исполнителей).";</w:t>
      </w:r>
    </w:p>
    <w:p>
      <w:r>
        <w:rPr>
          <w:b/>
        </w:rPr>
        <w:t xml:space="preserve">2. </w:t>
      </w:r>
      <w:r>
        <w:t>Правительство Российской Федерации вправе установить виды и объем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контракту</w:t>
      </w:r>
    </w:p>
    <w:p>
      <w:r>
        <w:rPr>
          <w:b/>
        </w:rPr>
        <w:t xml:space="preserve">3. </w:t>
      </w:r>
      <w:r>
        <w:t>Результатом выполненной работы по контракту, предметом которого в соответствии с Гражданским кодексом Российской Федерации является выполнение проектных и (или) изыскательских работ, являются проектная документация и (или) документ, содержащий результаты инженерных изысканий. В случае, если в соответствии с Градостроительным кодексом Российской Федерации проведение экспертизы проектной документации и (или) результатов инженерных изысканий является обязательным, проектная документация и (или) документ, содержащий результаты инженерных изысканий, признаются результатом выполненных проектных и (или) изыскательских работ по такому контракту при наличии положительного заключения экспертизы проектной документации и (или) результатов инженерных изысканий</w:t>
      </w:r>
    </w:p>
    <w:p>
      <w:r>
        <w:rPr>
          <w:b/>
        </w:rPr>
        <w:t xml:space="preserve">4. </w:t>
      </w:r>
      <w:r>
        <w:t>Результатом выполненной работы по контракту, предметом которого являются строительство, реконструкция объекта капитального строительства, является построенный и (или) реконструированный объект капитального строительства, в отношении которого получено заключение органа государственного строительного надзора о соответствии построенного и (или)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заключение федерального государственного экологического надзора в случаях, предусмотренных частью 7 статьи 54 Градостроительного кодекса Российской Федерации</w:t>
      </w:r>
    </w:p>
    <w:p>
      <w:r>
        <w:rPr>
          <w:b/>
        </w:rPr>
        <w:t xml:space="preserve">5. </w:t>
      </w:r>
      <w:r>
        <w:t>Контракт, предметом которого являются строительство и (или) реконструкция объектов капитального строительства, должен содержать условие о поэтапной оплате выполненных подрядчиком работ исходя из объема таких работ и цены контракта</w:t>
      </w:r>
    </w:p>
    <w:p>
      <w:r>
        <w:rPr>
          <w:b/>
        </w:rPr>
        <w:t xml:space="preserve">6. </w:t>
      </w:r>
      <w:r>
        <w:t>Объем выполненных по контракту работ определяется с учетом статьи 743 Гражданского кодекса Российской Федерации. При этом оплата выполненных по контракту работ осуществляется в сроки и в размерах, которые установлены графиком оплаты выполненных по контракту работ с учетом графика выполнения строительно-монтажных работ</w:t>
      </w:r>
    </w:p>
    <w:p>
      <w:r>
        <w:rPr>
          <w:b/>
        </w:rPr>
        <w:t xml:space="preserve">7. </w:t>
      </w:r>
      <w:r>
        <w:t>Методика составления указанных в части 6 настоящей статьи графиков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</w:t>
      </w:r>
    </w:p>
    <w:p>
      <w:r>
        <w:rPr>
          <w:b/>
        </w:rPr>
        <w:t xml:space="preserve">8. </w:t>
      </w:r>
      <w:r>
        <w:t>Заказчик в течение десяти рабочих дней с даты приемки объекта капитального строительства и представления подрядчиком имеющихся у него документов, необходимых в соответствии с Градостроительным кодексом Российской Федерации для получения заключения органа государственного строительного надзора о соответствии построенного и (или)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заключения федерального государственного экологического надзора в случаях, предусмотренных частью 7 статьи 54 Градостроительного кодекса Российской Федерации, направляет представленные документы в органы, уполномоченные в соответствии с законодательством Российской Федерации на выдачу указанных заключений. Заказчик в течение десяти рабочих дней с даты получения соответствующего заключения (заключений) и представления подрядчиком имеющихся у него документов, необходимых в соответствии с Градостроительным кодексом Российской Федерации для получения разрешения на ввод объекта в эксплуатацию, направляет документы в органы, уполномоченные в соответствии с Градостроительным кодексом Российской Федерации на выдачу разрешения на ввод объекта в эксплуатацию."</w:t>
      </w:r>
    </w:p>
    <w:p>
      <w:r>
        <w:rPr>
          <w:b/>
        </w:rPr>
        <w:t xml:space="preserve">2. </w:t>
      </w:r>
      <w:r>
        <w:t>дополнить статьей 1102 следующего содержания: "Статья 1102. Особенности заключения и исполнения контракта,предметом которого является выполнение проектных и (или) изыскательских работ, и контрактов, предметом которых являются строительство, реконструкция объектов капитального строительства 1. Контракт, предметом которого является выполнение проектных и (или) изыскательских работ, должен содержать условие, согласно которому с даты приемки результатов выполнения проектных и (или) изыскательских работ исключительные права на результаты выполненных проектных и (или) изыскательских работ принадлежат Российской Федерации, субъекту Российской Федерации, муниципальному образованию, от имени которых выступает государственный или муниципальный заказчик</w:t>
      </w:r>
    </w:p>
    <w:p>
      <w:r>
        <w:rPr>
          <w:b/>
        </w:rPr>
        <w:t>Статья 3</w:t>
      </w:r>
    </w:p>
    <w:p>
      <w:r>
        <w:t>Положения статей 1101 и 1102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(в редакции настоящего Федерального закона) не распространяются на правоотношения, связанные с осуществлением закупок товаров, работ, услуг для обеспечения государственных и муниципальных нужд, извещения об осуществлении которых размещены в единой информационной системе в сфере закупок или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либо приглашения принять участие в которых направлены до дня вступления в силу настоящего Федерального закона, а также на контракты, заключенные до дня вступления в силу настоящего Федерального закона.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