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2011, № 17, ст. 2310; 2014, № 6, ст. 566; 2015, № 29, ст. 4374; № 48, ст. 6723; 2016, № 1, ст. 74) следующие изменения</w:t>
      </w:r>
    </w:p>
    <w:p>
      <w:r>
        <w:t>в статье 3: а) пункт 5 изложить в следующей редакции: "5) элементы обустройства автомобильных дорог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 б) дополнить пунктами 20 - 22 следующего содержания: "20) сохранность автомобильной дороги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r>
        <w:t>обеспечение сохранности автомобильных дорог -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r>
        <w:t>государственный надзор, муниципальный контроль за обеспечением сохранности автомобильных дорог - действия должностных лиц органа государственного контроля (надзора), муниципального контроля, направленные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 их уполномоченными представителями, физическими лицами (далее - субъекты надзора)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(далее - обязательные требования), посредством организации и проведения проверок субъектов надзора, принятия предусмотренных законодательством Российской Федерации мер по пресечению и (или) устранению последствий выявленных нарушений, а также связанные с систематическим наблюдением за исполнением обязательных требований, анализом и прогнозированием состояния исполнения обязательных требований при осуществлении деятельности субъектами надзора."</w:t>
      </w:r>
    </w:p>
    <w:p>
      <w:r>
        <w:t>часть 2 статьи 21 после слов "оборудовать железнодорожные переезды" дополнить словами "работающими в автоматическом режиме специальными техническими средствами, имеющими функции фото- и киносъемки, видеозаписи для фиксации нарушений правил дорожного движения,"</w:t>
      </w:r>
    </w:p>
    <w:p>
      <w:r>
        <w:t>часть 16 статьи 31 изложить в следующей редакции: "16. При осуществлении весового и габаритного контроля транспортного средства:</w:t>
      </w:r>
    </w:p>
    <w:p>
      <w:r>
        <w:t>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w:t>
      </w:r>
    </w:p>
    <w:p>
      <w:r>
        <w:t>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 Государственная компания "Российские автомобильные дороги": а) принимает решение об установке и использовании на автомобильной дороге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сохранности автомобильных дорог в целях осуществления весового и габаритного контроля транспортного средства; б) передает информацию о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правонарушениях при осуществлении весового и габаритного контроля транспортного средства в органы государственного контроля (надзора), муниципального контроля; в) финансирует расходы, связанные с обработкой и рассылкой постановлений органов государственного контроля (надзора), муниципального контроля об административных правонарушениях,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при осуществлении весового и габаритного контроля транспортного средства."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