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Эртильского районного суда Воронежской области и образовании постоянного судебного присутствия в составе Панинского районного суда Воронежской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Российской Федерации"</w:t>
      </w:r>
    </w:p>
    <w:p>
      <w:r>
        <w:t>упразднить Эртильский районный суд Воронежской области, передав относящиеся к его ведению вопросы осуществления правосудия в юрисдикцию Панинского районного суда Воронежской области</w:t>
      </w:r>
    </w:p>
    <w:p>
      <w:r>
        <w:t>установить, что юрисдикция Панинского районного суда Воронежской области распространяется на территории Панинского и Эртильского районов Воронежской области в границах, существующих на день вступления в силу настоящего Федерального закона</w:t>
      </w:r>
    </w:p>
    <w:p>
      <w:r>
        <w:t>образовать в составе Панинского районного суда Воронежской области постоянное судебное присутствие в городе Эртиль Эртильского района Воронежской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 статьи 1 настоящего Федерального закона</w:t>
      </w:r>
    </w:p>
    <w:p>
      <w:r>
        <w:rPr>
          <w:b/>
        </w:rPr>
        <w:t xml:space="preserve">2. </w:t>
      </w:r>
      <w:r>
        <w:t>Пункты 1 - 3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