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арбитражных заседателях арбитражных судов субъектов Российской Федерации"</w:t>
      </w:r>
    </w:p>
    <w:p>
      <w:r>
        <w:rPr>
          <w:b/>
        </w:rPr>
        <w:t>Статья 1</w:t>
      </w:r>
    </w:p>
    <w:p>
      <w:r>
        <w:t>Внести в Федеральный закон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2002, № 30, ст. 3033; 2003, № 27, ст. 2700; 2009, № 7, ст. 772; № 26, ст. 3134; 2013, № 27, ст. 3477; 2014, № 11, ст. 1094; № 23, ст. 2928; 2016, № 27, ст. 4238) следующие изменения</w:t>
      </w:r>
    </w:p>
    <w:p>
      <w:r>
        <w:t>статью 1 дополнить пунктом 41 следующего содержания: "41. Арбитражный заседатель при исполнении своих полномочий, а также во внеслужебных отношениях должен избегать всего, что могло бы умалить авторитет судебной власти или вызвать сомнение в его объективности, справедливости и беспристрастности. В случае возникновения конфликта интересов арбитражный заседатель, участвующий в производстве по делу, обязан заявить самоотвод или поставить в известность участников процесса о сложившейся ситуации. Под конфликтом интересов понимается ситуация, при которой личная заинтересованность (прямая или косвенная) арбитражного заседателя влияет или может повлиять на надлежащее исполнение им своих обязанностей и при которой возникает или может возникнуть противоречие между личной заинтересованностью арбитражного заседателя и правами и законными интересами граждан, организаций, общества, муниципального образования, субъекта Российской Федерации или Российской Федерации, способное привести к причинению вреда правам и законным интересам граждан, организаций, общества, муниципального образования, субъекта Российской Федерации или Российской Федерации. Под личной заинтересованностью арбитражного заседателя, которая влияет или может повлиять на надлежащее исполнение им своих обязанностей, понимается возможность получения арбитражным заседателем при исполнении им своих обязанностей доходов в виде материальной выгоды либо иного неправомерного преимущества непосредственно для арбитражного заседателя, членов его семьи или иных лиц и организаций, с которыми арбитражный заседатель связан финансовыми или иными обязательствами."</w:t>
      </w:r>
    </w:p>
    <w:p>
      <w:r>
        <w:t>пункт 2 статьи 2 дополнить подпунктом 7 следующего содержания: "7) супруг (супруга), родители, дети, родные братья и сестры, дедушки, бабушки, внуки, а также родители, дети, родные братья и сестры супруга (супруги) председателя или заместителя председателя того же арбитражного суда субъекта Российской Федерации."</w:t>
      </w:r>
    </w:p>
    <w:p>
      <w:r>
        <w:t>пункт 1 статьи 3 дополнить предложениями следующего содержания: "Арбитражный суд субъекта Российской Федерации организует проверку достоверности сведений о кандидатурах арбитражных заседателей. При этом арбитражный суд субъекта Российской Федерации вправе обратиться с требованием о проверке достоверности представленных ему сведений в соответствующие органы, которые обязаны сообщить о результатах проверки в установленный арбитражным судом срок, но не позднее чем через два месяца со дня поступления этого требования."</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