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427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11 пункта 1 статьи 427 части второй Налогового кодекса Российской Федерации (Собрание законодательства Российской Федерации, 2000, № 32, ст. 3340; 2016, № 27, ст. 4176) изменение, изложив его в следующей редакции: "11) для организаций и индивидуальных предпринимателей, получивших статус участника свободной экономической зоны в соответствии с Федеральным законом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(далее - участник свободной экономической зоны);".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