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формирования механизмов увеличения доходов субъектов детско-юношеского спорта и субъектов профессионального спорта</w:t>
      </w:r>
    </w:p>
    <w:p>
      <w:r>
        <w:rPr>
          <w:b/>
        </w:rPr>
        <w:t>Статья 1</w:t>
      </w:r>
    </w:p>
    <w:p>
      <w:r>
        <w:t>Часть 1 статьи 11 Федерального закона от 11 ноября 2003 года № 138-ФЗ "О лотереях" (Собрание законодательства Российской Федерации, 2003, № 46, ст. 4434; 2013, № 52, ст. 6981) дополнить словами ", в том числе мероприятий по развитию физической культуры и спорта, спорта высших достижений и системы подготовки спортивного резерва".</w:t>
      </w:r>
    </w:p>
    <w:p>
      <w:r>
        <w:rPr>
          <w:b/>
        </w:rPr>
        <w:t>Статья 2</w:t>
      </w:r>
    </w:p>
    <w:p>
      <w:r>
        <w:t>Внести в статью 27 Федерального закона от 13 марта 2006 года № 38-ФЗ "О рекламе" (Собрание законодательства Российской Федерации, 2006, № 12, ст. 1232; 2008, № 20, ст. 2255; 2013, № 52, ст. 6981) следующие изменения: 1) пункт 1 части 2 дополнить словами ", за исключением случая, предусмотренного частью 21 настоящей статьи"; 2) дополнить частями 21 и 22 следующего содержания: "21. Допускается распространение рекламы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во время трансляции в прямом эфире или в записи спортивных соревнований (в том числе спортивных матчей, игр, боев, гонок)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спортивных соревнований, установленного в соответствии с частями 3 и 9 статьи 14, частями 2 и 8 статьи 15 настоящего Федерального закона.</w:t>
      </w:r>
    </w:p>
    <w:p>
      <w:r>
        <w:rPr>
          <w:b/>
        </w:rPr>
        <w:t xml:space="preserve">22. </w:t>
      </w:r>
      <w:r>
        <w:t>Помимо случаев, предусмотренных частью 2 настоящей статьи, допускаются размещение, распространение рекламы</w:t>
      </w:r>
    </w:p>
    <w:p>
      <w:r>
        <w:rPr>
          <w:b/>
        </w:rPr>
        <w:t xml:space="preserve">22. </w:t>
      </w:r>
      <w:r>
        <w:t>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w:t>
      </w:r>
    </w:p>
    <w:p>
      <w:r>
        <w:rPr>
          <w:b/>
        </w:rPr>
        <w:t xml:space="preserve">22. </w:t>
      </w:r>
      <w:r>
        <w:t>средств индивидуализации организаторов азартных игр в букмекерских конторах:</w:t>
      </w:r>
    </w:p>
    <w:p>
      <w:r>
        <w:rPr>
          <w:b/>
        </w:rPr>
        <w:t xml:space="preserve">22. </w:t>
      </w:r>
      <w:r>
        <w:t>в периодических печатных изданиях, специализирующихся на материалах и сообщениях физкультурно-спортивного характера</w:t>
      </w:r>
    </w:p>
    <w:p>
      <w:r>
        <w:rPr>
          <w:b/>
        </w:rPr>
        <w:t xml:space="preserve">22. </w:t>
      </w:r>
      <w:r>
        <w:t>в информационно-телекоммуникационных сетях общего пользования (в том числе в сети "Интернет"): на сайтах, зарегистрированных в качестве сетевых изданий, специализирующихся на материалах и сообщениях физкультурно-спортивного характера; на официальных сайтах общероссийских спортивных федераций либо профессиональных спортивных лиг; на сайтах, владельцем которых является учредитель телеканала спортивной направленности, не являющегося телеканалом, доступ к которому осуществляется исключительно на платной основе и (или) с применением декодирующих технических устройств</w:t>
      </w:r>
    </w:p>
    <w:p>
      <w:r>
        <w:rPr>
          <w:b/>
        </w:rPr>
        <w:t xml:space="preserve">22. </w:t>
      </w:r>
      <w:r>
        <w:t>в спортивных сооружениях</w:t>
      </w:r>
    </w:p>
    <w:p>
      <w:r>
        <w:rPr>
          <w:b/>
        </w:rPr>
        <w:t xml:space="preserve">22. </w:t>
      </w:r>
      <w:r>
        <w:t>на спортивной форме спортсменов и (или) спортивных клубов."</w:t>
      </w:r>
    </w:p>
    <w:p>
      <w:r>
        <w:rPr>
          <w:b/>
        </w:rPr>
        <w:t>Статья 3</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24, ст. 3358; № 30, ст. 4590; № 48, ст. 6728; 2012, № 43, ст. 5781; 2013, № 30, ст. 4031; 2014, № 30, ст. 4223, 4279) следующие изменения: 1) дополнить статьей 62 следующего содержания: "Статья 62. Целевые отчисления от азартных игр, осуществляемые организатором азартных игр в букмекерской конторе 1. Организатор азартных игр в букмекерской конторе, заключающий пари на спортивные мероприятия, обязан заключать соглашения об использовании символики, наименований спортивных мероприятий с субъектами профессионального спорта, а именно общероссийскими спортивными федерациями, профессиональными спортивными лигами, организующими спортивные мероприятия, в отношении которых он принимает ставки, и на основании таких соглашений осуществлять целевые отчисления от азартных игр (далее - целевые отчисления), направляемые на финансирование мероприятий по развитию профессионального спорта и детско-юношеского спорта. Порядок заключения таких соглашений, обязательные условия таких соглашений, включающие порядок направления соответствующих целевых отчислений, примерная форма таких соглашений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w:t>
      </w:r>
    </w:p>
    <w:p>
      <w:r>
        <w:rPr>
          <w:b/>
        </w:rPr>
        <w:t xml:space="preserve">2. </w:t>
      </w:r>
      <w:r>
        <w:t>База расчета целевых отчислений определяется организатором азартных игр в букмекерской конторе в соответствии с правилами, утвержденными Правительством Российской Федерации</w:t>
      </w:r>
    </w:p>
    <w:p>
      <w:r>
        <w:rPr>
          <w:b/>
        </w:rPr>
        <w:t xml:space="preserve">3. </w:t>
      </w:r>
      <w:r>
        <w:t>Целевые отчисления по каждому соглашению, заключенному в соответствии с настоящей статьей, устанавливаются в размере пяти процентов от базы расчета целевых отчислений, определяемой в соответствии с частью 2 настоящей статьи в отношении использования символики, наименований спортивных мероприятий, указанных в данном соглашении, и рассчитываются самостоятельно каждым организатором азартных игр в букмекерской конторе. При этом общий объем целевых отчислений по всем заключенным организатором азартных игр в букмекерской конторе соглашениям не может составлять менее пятнадцати миллионов рублей</w:t>
      </w:r>
    </w:p>
    <w:p>
      <w:r>
        <w:rPr>
          <w:b/>
        </w:rPr>
        <w:t xml:space="preserve">4. </w:t>
      </w:r>
      <w:r>
        <w:t>Организатор азартных игр в букмекерской конторе уплачивает суммы целевых отчислений не позднее десяти дней со дня окончания квартала, в котором возникла база расчета целевых отчислений. Отсчет кварталов ведется с начала календарного года</w:t>
      </w:r>
    </w:p>
    <w:p>
      <w:r>
        <w:rPr>
          <w:b/>
        </w:rPr>
        <w:t xml:space="preserve">5. </w:t>
      </w:r>
      <w:r>
        <w:t>Не позднее двадцати дней со дня окончания квартала, в котором возникла база расчета целевых отчислений, организатор азартных игр в букмекерской конторе представляет общероссийским спортивным федерациям, профессиональным спортивным лигам информацию о принятых ставках в отношении спортивных мероприятий, организованных соответствующими общероссийскими спортивными федерациями, профессиональными спортивными лигами, о выплаченных выигрышах, а также об объеме подлежащих уплате и фактически уплаченных сумм целевых отчислений</w:t>
      </w:r>
    </w:p>
    <w:p>
      <w:r>
        <w:rPr>
          <w:b/>
        </w:rPr>
        <w:t xml:space="preserve">6. </w:t>
      </w:r>
      <w:r>
        <w:t>В случае, если целевые отчисления не уплачены или уплачены не в полном объеме, общероссийские спортивные федерации, профессиональные спортивные лиги обращаются в суд с иском о взыскании целевых отчислений</w:t>
      </w:r>
    </w:p>
    <w:p>
      <w:r>
        <w:rPr>
          <w:b/>
        </w:rPr>
        <w:t xml:space="preserve">7. </w:t>
      </w:r>
      <w:r>
        <w:t>Организатор азартных игр в букмекерской конторе в сроки, установленные частью 5 настоящей статьи, представляет саморегулируемой организации организаторов азартных игр в букмекерских конторах сведения о выполнении требований, предусмотренных настоящей статьей, в порядке и по форме, которые установлены саморегулируемой организацией организаторов азартных игр в букмекерских конторах</w:t>
      </w:r>
    </w:p>
    <w:p>
      <w:r>
        <w:rPr>
          <w:b/>
        </w:rPr>
        <w:t xml:space="preserve">8. </w:t>
      </w:r>
      <w:r>
        <w:t>Саморегулируемая организация организаторов азартных игр в букмекерских конторах ежеквартально не позднее тридцати дней со дня окончания квартала, в котором возникла база расчета целевых отчислений, представляет в федеральный орган исполнительной власти в области физической культуры и спорта и уполномоченный федеральный орган исполнительной власти, осуществляющий государственный надзор в области организации и проведения азартных игр, по форме, утвержденной уполномоченным федеральным органом исполнительной власти, осуществляющим государственный надзор в области организации и проведения азартных игр, по согласованию с федеральным органом исполнительной власти в области физической культуры и спорта</w:t>
      </w:r>
    </w:p>
    <w:p>
      <w:r>
        <w:rPr>
          <w:b/>
        </w:rPr>
        <w:t xml:space="preserve">9. </w:t>
      </w:r>
      <w:r>
        <w:t>Уполномоченный федеральный орган исполнительной власти, осуществляющий государственный надзор в области организации и проведения азартных игр, при выявлении фактов нарушения организатором азартных игр в букмекерской конторе требований, установленных настоящей статьей, в десятидневный срок уведомляет саморегулируемую организацию организаторов азартных игр в букмекерских конторах о выявленных нарушениях в установленном им порядке.";</w:t>
      </w:r>
    </w:p>
    <w:p>
      <w:r>
        <w:rPr>
          <w:b/>
        </w:rPr>
        <w:t xml:space="preserve">8. </w:t>
      </w:r>
      <w:r>
        <w:t>перечень заключенных членами саморегулируемой организации организаторов азартных игр в букмекерских конторах соглашений об использовании символики, наименований спортивных мероприятий</w:t>
      </w:r>
    </w:p>
    <w:p>
      <w:r>
        <w:rPr>
          <w:b/>
        </w:rPr>
        <w:t xml:space="preserve">8. </w:t>
      </w:r>
      <w:r>
        <w:t>информацию о принятых ставках в отношении спортивных мероприятий, организованных общероссийскими спортивными федерациями, профессиональными спортивными лигами, о выплаченных выигрышах</w:t>
      </w:r>
    </w:p>
    <w:p>
      <w:r>
        <w:rPr>
          <w:b/>
        </w:rPr>
        <w:t xml:space="preserve">8. </w:t>
      </w:r>
      <w:r>
        <w:t>информацию об объеме подлежащих уплате и фактически уплаченных сумм целевых отчислений</w:t>
      </w:r>
    </w:p>
    <w:p>
      <w:r>
        <w:rPr>
          <w:b/>
        </w:rPr>
        <w:t xml:space="preserve">9. </w:t>
      </w:r>
      <w:r>
        <w:t>часть 20 статьи 141 после слов "вне игорной зоны" дополнить словами ", несоблюдения требований, указанных в статье 62 настоящего Федерального закона,"</w:t>
      </w:r>
    </w:p>
    <w:p>
      <w:r>
        <w:rPr>
          <w:b/>
        </w:rPr>
        <w:t>Статья 4</w:t>
      </w:r>
    </w:p>
    <w:p>
      <w:r>
        <w:t>Статью 191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2016, № 48, ст. 6736) дополнить частями 8 и 9 следующего содержания: "8. Субъекты профессионального спорта, а именно общероссийские спортивные федерации, профессиональные спортивные лиги, являющиеся организаторами спортивных мероприятий, в отношении которых организаторы азартных игр в букмекерских конторах принимают ставки, не вправе отказать организаторам азартных игр в букмекерских конторах в заключении соглашений об использовании символики, наименований спортивных мероприятий, предусмотренных Федеральным законом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 xml:space="preserve">9. </w:t>
      </w:r>
      <w:r>
        <w:t>Средства, полученные организаторами спортивных мероприятий, указанными в части 8 настоящей статьи, в виде целевых отчислений от азартных игр, направляются на финансирование мероприятий по развитию профессионального спорта и детско-юношеского спорта. На развитие детско-юношеского спорта направляется двадцать процентов общего объема целевых отчислений от азартных игр. Порядок распределения указанных средств устанавливается федеральным органом исполнительной власти в области физической культуры и спорта. На развитие профессионального спорта направляется восемьдесят процентов общего объема целевых отчислений от азартных игр. Порядок распределения указанных средств устанавливается общероссийской спортивной федерацией или профессиональной спортивной лигой."</w:t>
      </w:r>
    </w:p>
    <w:p>
      <w:r>
        <w:rPr>
          <w:b/>
        </w:rPr>
        <w:t>Статья 5</w:t>
      </w:r>
    </w:p>
    <w:p>
      <w:r>
        <w:t>До 1 апреля 2017 года Правительству Российской Федерации утвердить правила определения базы расчета целевых отчислений, указанные в части 2 статьи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редакции настоящего Федерального закона).</w:t>
      </w:r>
    </w:p>
    <w:p>
      <w:r>
        <w:rPr>
          <w:b/>
        </w:rPr>
        <w:t>Статья 6</w:t>
      </w:r>
    </w:p>
    <w:p>
      <w:r>
        <w:rPr>
          <w:b/>
        </w:rPr>
        <w:t xml:space="preserve">1. </w:t>
      </w:r>
      <w:r>
        <w:t>Настоящий Федеральный закон вступает в силу с 1 апреля 2017 года, за исключением пункта 1 статьи 3 и статьи 5 настоящего Федерального закона</w:t>
      </w:r>
    </w:p>
    <w:p>
      <w:r>
        <w:rPr>
          <w:b/>
        </w:rPr>
        <w:t xml:space="preserve">2. </w:t>
      </w:r>
      <w:r>
        <w:t>Пункт 1 статьи 3 и статья 5 настоящего Федерального закона вступают в силу со дня официального опубликования настоящего Федерального закона 3. Положения статьи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редакции настоящего Федерального закона) применяются с 1 апреля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