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национальной платежной системе"</w:t>
      </w:r>
    </w:p>
    <w:p>
      <w:r>
        <w:rPr>
          <w:b/>
        </w:rPr>
        <w:t>Статья 1</w:t>
      </w:r>
    </w:p>
    <w:p>
      <w:r>
        <w:t>Внести в главу 3 Федерального закона от 27 июня 2011 года № 161-ФЗ "О национальной платежной системе" (Собрание законодательства Российской Федерации, 2011, № 27, ст. 3872; 2013, № 27, ст. 3477; 2014, № 19, ст. 2315, 2317; 2015, № 1, ст. 14; 2016, № 27, ст. 4221, 4223) изменение, дополнив ее статьей 191 следующего содержания: "Статья 191. Особенности осуществления трансграничного перевода денежных средств в случае введения запретов иностранным государством 1. В случае введения иностранным государством запретов в отношении платежных систем, операторы которых зарегистрированы Банком России, включая запрет на получение переводов денежных средств из Российской Федерации, запрет на привлечение операторов услуг платежной инфраструктуры, расположенных в Российской Федерации, запрет на участие в платежных системах, осуществление трансграничного перевода денежных средств без открытия банковского счета в рамках платежных систем, иностранных платежных систем может осуществляться из Российской Федерации в такое иностранное государство только при условии, что оператор платежной системы, операторы услуг платежной инфраструктуры находятся под прямым или косвенным контролем юридических лиц, созданных в соответствии с законодательством Российской Федерации.</w:t>
      </w:r>
    </w:p>
    <w:p>
      <w:r>
        <w:rPr>
          <w:b/>
        </w:rPr>
        <w:t xml:space="preserve">2. </w:t>
      </w:r>
      <w:r>
        <w:t>В случае введения иностранным государством запретов, предусмотренных частью 1 настоящей статьи, трансграничный перевод денежных средств без открытия банковского счета из Российской Федерации в такое иностранное государство на основании договоров, заключенных с иностранными организациями, не являющимися иностранными банками (иностранными кредитными организациями), не осуществляется, за исключением случая, если указанные иностранные организации находятся под прямым или косвенным контролем юридических лиц, созданных в соответствии с законодательством Российской Федерации</w:t>
      </w:r>
    </w:p>
    <w:p>
      <w:r>
        <w:rPr>
          <w:b/>
        </w:rPr>
        <w:t xml:space="preserve">3. </w:t>
      </w:r>
      <w:r>
        <w:t>Банк России на основании информации, полученной от федерального органа исполнительной власти, уполномоченного Правительством Российской Федерации, размещает на своем официальном сайте в информационно-телекоммуникационной сети "Интернет" сведения о введении иностранными государствами запретов в отношении платежных систем, операторы которых зарегистрированы Банком России</w:t>
      </w:r>
    </w:p>
    <w:p>
      <w:r>
        <w:rPr>
          <w:b/>
        </w:rPr>
        <w:t xml:space="preserve">4. </w:t>
      </w:r>
      <w:r>
        <w:t>Ограничения, предусмотренные частями 1 и 2 настоящей статьи, применяются со дня размещения Банком России сведений о введенных иностранными государствами запретах на своем официальном сайте в информационно-телекоммуникационной сети "Интернет"</w:t>
      </w:r>
    </w:p>
    <w:p>
      <w:r>
        <w:rPr>
          <w:b/>
        </w:rPr>
        <w:t xml:space="preserve">5. </w:t>
      </w:r>
      <w:r>
        <w:t>В целях применения настоящей статьи контроль определяется в соответствии с Международными стандартами финансовой отчетности, признанными на территории Российской Федерации. Если контроль в отношении оператора платежной системы, операторов услуг платежной инфраструктуры со стороны юридических лиц, созданных в соответствии с законодательством Российской Федерации, не может быть определен в соответствии с указанными Международными стандартами финансовой отчетности, контроль признается установленным в случае, если такие юридические лица имеют право прямо или косвенно распоряжаться (в том числе на основании договора доверительного управления имуществом, договора простого товарищества, договора поручения или в результате других сделок либо по иным основаниям) более чем 50 процентами от общего количества голосов, приходящихся на голосующие акции (доли), составляющие уставный капитал оператора платежной системы, операторов услуг платежной инфраструктуры."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после дня его официального опубликования</w:t>
      </w:r>
    </w:p>
    <w:p>
      <w:r>
        <w:rPr>
          <w:b/>
        </w:rPr>
        <w:t xml:space="preserve">2. </w:t>
      </w:r>
      <w:r>
        <w:t>Положения статьи 191 Федерального закона от 27 июня 2011 года № 161-ФЗ "О национальной платежной системе" (в редакции настоящего Федерального закона) применяются к случаям введения до дня вступления в силу настоящего Федерального закона иностранными государствами запретов в отношении платежных систем, операторы которых зарегистрированы Банком России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