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161. Недопустимость разглашения данных предварительного расследования "Статья 40117. Недопустимость внесения повторных кассационных жалобы, представления "Статья 4501. Особенности производства обыска, осмотра и выемки в отношении адвоката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